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River Token — Whitepaper Oficial</w:t>
      </w:r>
    </w:p>
    <w:p>
      <w:pPr>
        <w:pStyle w:val="BodyText"/>
      </w:pPr>
      <w:r>
        <w:rPr>
          <w:bCs/>
          <w:b/>
        </w:rPr>
        <w:t xml:space="preserve">Rezumat Executiv</w:t>
      </w:r>
    </w:p>
    <w:p>
      <w:pPr>
        <w:pStyle w:val="BodyText"/>
      </w:pPr>
      <w:r>
        <w:t xml:space="preserve">River Token este un proiect hibrid, fizic și digital, construit în jurul unui produs de larg consum — apă minerală naturală de izvor, exploatată dintr-o sursă din județul Hunedoara — și al unui token utilitar,</w:t>
      </w:r>
      <w:r>
        <w:t xml:space="preserve"> </w:t>
      </w:r>
      <w:r>
        <w:rPr>
          <w:bCs/>
          <w:b/>
        </w:rPr>
        <w:t xml:space="preserve">$RIVR</w:t>
      </w:r>
      <w:r>
        <w:t xml:space="preserve">, emis pe blockchain-ul MultiversX. Fiecare sticlă vândută poartă sub capac un cod unic de 11 caractere, care poate fi revendicat în aplicația mobilă River Token (deja disponibilă pe App Store, Google Play și Huawei AppGallery) sub forma unei recompense virtuale, convertibilă ulterior în tokeni reali.</w:t>
      </w:r>
    </w:p>
    <w:p>
      <w:pPr>
        <w:pStyle w:val="BodyText"/>
      </w:pPr>
      <w:r>
        <w:t xml:space="preserve">Modelul economic este simplu și verificabil: până la atingerea pragului de 10.000 de utilizatori unici activi — moment care declanșează și listarea tokenului pe piață — compania alocă o sumă fixă de 0,5 lei pentru fiecare sticlă vândută către lichiditatea tokenului. Ulterior, 25% din profit sunt alocate trimestrial către lichiditatea tokenului $RIVR. Tokenul are un supply fix de 100.000.000 unități, fără posibilitate de emisiune suplimentară, alocat pe cinci direcții: recompense pentru consumatori, lichiditate pentru exchange-uri, echipa fondatoare (cu vesting de 18 luni), un fond de staking și parteneriate strategice.</w:t>
      </w:r>
    </w:p>
    <w:p>
      <w:pPr>
        <w:pStyle w:val="BodyText"/>
      </w:pPr>
      <w:r>
        <w:t xml:space="preserve">Activarea tokenului pe rețea nu este legată de o dată calendaristică fixă, ci de atingerea unui prag intern de adopție: 10.000 de utilizatori unici activi în aplicație. Din acel moment, distribuția on-chain se realizează în valuri succesive, la fiecare 6 luni, până la conversia integrală a tuturor tokenilor aferenți sticlelor vândute.</w:t>
      </w:r>
    </w:p>
    <w:p>
      <w:pPr>
        <w:pStyle w:val="BodyText"/>
      </w:pPr>
      <w:r>
        <w:t xml:space="preserve">River Token nu este promovat ca instrument de investiție. Tokenul $RIVR nu conferă drepturi de vot, dividende sau garanții de randament — este o recompensă pentru un gest de consum real, ancorată în performanța comercială a produsului fizic, nu în promisiuni speculative. Lansarea comercială a produsului are loc în cursul lunii august 2026, prin magazinul online propriu (www.river-token.com), urmată de o extindere graduală către retail tradițional, HoReCa și piețe internaționale, începând cu regiunea balcanică.</w:t>
      </w:r>
    </w:p>
    <w:p>
      <w:pPr>
        <w:pStyle w:val="BodyText"/>
      </w:pPr>
      <w:r>
        <w:t xml:space="preserve">Acest document este destinat consumatorilor, partenerilor comerciali și oricărei entități care evaluează proiectul River Token — inclusiv, la momentul relevant, platformelor de tranzacționare. El descrie mecanismul economic, arhitectura tehnică, structura de guvernanță și riscurile asociate proiectului, așa cum sunt ele înțelese la data redactării.</w:t>
      </w:r>
    </w:p>
    <w:p>
      <w:pPr>
        <w:pStyle w:val="BodyText"/>
      </w:pPr>
      <w:r>
        <w:rPr>
          <w:bCs/>
          <w:b/>
        </w:rPr>
        <w:t xml:space="preserve">Avertizare de risc</w:t>
      </w:r>
    </w:p>
    <w:p>
      <w:pPr>
        <w:pStyle w:val="BodyText"/>
      </w:pPr>
      <w:r>
        <w:t xml:space="preserve">Acest document are scop informativ și descrie proiectul River Token, produsul fizic asociat și tokenul utilitar $RIVR. Tokenul $RIVR este un token de tip utilitar (utility token), oferit ca recompensă pentru consumul real de produs și nu reprezintă un instrument financiar, o valoare mobiliară, un depozit, o garanție de randament sau o ofertă de investiție. Achiziția produsului River Token nu trebuie realizată cu așteptarea unui câștig financiar. Valoarea tokenului $RIVR, odată tranzacționabil, va fi determinată exclusiv de cerere și ofertă pe piață, iar compania River Token nu garantează și nu poate controla această valoare. Activarea tokenului este condiționată de atingerea unui prag intern de adopție și nu este garantată să aibă loc într-un interval de timp anume. Deciziile de consum sau de participare în ecosistemul River Token trebuie luate în cunoștință de cauză, pe baza informațiilor din acest document.</w:t>
      </w:r>
    </w:p>
    <w:p>
      <w:pPr>
        <w:pStyle w:val="BodyText"/>
      </w:pPr>
      <w:r>
        <w:rPr>
          <w:bCs/>
          <w:b/>
        </w:rPr>
        <w:t xml:space="preserve">Cuprins</w:t>
      </w:r>
    </w:p>
    <w:p>
      <w:pPr>
        <w:pStyle w:val="BodyText"/>
      </w:pPr>
      <w:r>
        <w:rPr>
          <w:bCs/>
          <w:b/>
        </w:rPr>
        <w:t xml:space="preserve">Rezumat Executiv</w:t>
      </w:r>
    </w:p>
    <w:p>
      <w:pPr>
        <w:pStyle w:val="BodyText"/>
      </w:pPr>
      <w:r>
        <w:rPr>
          <w:bCs/>
          <w:b/>
        </w:rPr>
        <w:t xml:space="preserve">Avertizare de risc</w:t>
      </w:r>
    </w:p>
    <w:p>
      <w:pPr>
        <w:pStyle w:val="BodyText"/>
      </w:pPr>
      <w:r>
        <w:rPr>
          <w:bCs/>
          <w:b/>
        </w:rPr>
        <w:t xml:space="preserve">Capitolul 1: Introducere</w:t>
      </w:r>
    </w:p>
    <w:p>
      <w:pPr>
        <w:pStyle w:val="BodyText"/>
      </w:pPr>
      <w:r>
        <w:rPr>
          <w:bCs/>
          <w:b/>
        </w:rPr>
        <w:t xml:space="preserve">Capitolul 2: Prezentarea produsului fizic — RIVER TOKEN</w:t>
      </w:r>
    </w:p>
    <w:p>
      <w:pPr>
        <w:pStyle w:val="BodyText"/>
      </w:pPr>
      <w:r>
        <w:rPr>
          <w:bCs/>
          <w:b/>
        </w:rPr>
        <w:t xml:space="preserve">Capitolul 3: Arhitectura tokenului — RIVER</w:t>
      </w:r>
    </w:p>
    <w:p>
      <w:pPr>
        <w:pStyle w:val="BodyText"/>
      </w:pPr>
      <w:r>
        <w:rPr>
          <w:bCs/>
          <w:b/>
        </w:rPr>
        <w:t xml:space="preserve">Capitolul 4: Tokenomics</w:t>
      </w:r>
    </w:p>
    <w:p>
      <w:pPr>
        <w:pStyle w:val="BodyText"/>
      </w:pPr>
      <w:r>
        <w:rPr>
          <w:bCs/>
          <w:b/>
        </w:rPr>
        <w:t xml:space="preserve">Capitolul 5: Tehnologie și infrastructură</w:t>
      </w:r>
    </w:p>
    <w:p>
      <w:pPr>
        <w:pStyle w:val="BodyText"/>
      </w:pPr>
      <w:r>
        <w:rPr>
          <w:bCs/>
          <w:b/>
        </w:rPr>
        <w:t xml:space="preserve">Capitolul 6: Utilitatea tokenului</w:t>
      </w:r>
    </w:p>
    <w:p>
      <w:pPr>
        <w:pStyle w:val="BodyText"/>
      </w:pPr>
      <w:r>
        <w:rPr>
          <w:bCs/>
          <w:b/>
        </w:rPr>
        <w:t xml:space="preserve">Capitolul 7: Roadmap</w:t>
      </w:r>
    </w:p>
    <w:p>
      <w:pPr>
        <w:pStyle w:val="BodyText"/>
      </w:pPr>
      <w:r>
        <w:rPr>
          <w:bCs/>
          <w:b/>
        </w:rPr>
        <w:t xml:space="preserve">Capitolul 8: Modelul de business</w:t>
      </w:r>
    </w:p>
    <w:p>
      <w:pPr>
        <w:pStyle w:val="BodyText"/>
      </w:pPr>
      <w:r>
        <w:rPr>
          <w:bCs/>
          <w:b/>
        </w:rPr>
        <w:t xml:space="preserve">Capitolul 9: Conformitate și aspecte legale</w:t>
      </w:r>
    </w:p>
    <w:p>
      <w:pPr>
        <w:pStyle w:val="BodyText"/>
      </w:pPr>
      <w:r>
        <w:rPr>
          <w:bCs/>
          <w:b/>
        </w:rPr>
        <w:t xml:space="preserve">Capitolul 10: Echipa și partenerii</w:t>
      </w:r>
    </w:p>
    <w:p>
      <w:pPr>
        <w:pStyle w:val="BodyText"/>
      </w:pPr>
      <w:r>
        <w:rPr>
          <w:bCs/>
          <w:b/>
        </w:rPr>
        <w:t xml:space="preserve">Capitolul 11: Riscuri și strategii de atenuare</w:t>
      </w:r>
    </w:p>
    <w:p>
      <w:pPr>
        <w:pStyle w:val="BodyText"/>
      </w:pPr>
      <w:r>
        <w:rPr>
          <w:bCs/>
          <w:b/>
        </w:rPr>
        <w:t xml:space="preserve">Capitolul 12: Concluzii și viziune pe termen lung</w:t>
      </w:r>
    </w:p>
    <w:p>
      <w:pPr>
        <w:pStyle w:val="BodyText"/>
      </w:pPr>
      <w:r>
        <w:rPr>
          <w:bCs/>
          <w:b/>
        </w:rPr>
        <w:t xml:space="preserve">Întrebări frecvente (FAQ)</w:t>
      </w:r>
    </w:p>
    <w:bookmarkStart w:id="20" w:name="capitolul-1-introducere"/>
    <w:p>
      <w:pPr>
        <w:pStyle w:val="Heading1"/>
      </w:pPr>
      <w:r>
        <w:t xml:space="preserve">Capitolul 1: Introducere</w:t>
      </w:r>
    </w:p>
    <w:p>
      <w:pPr>
        <w:pStyle w:val="FirstParagraph"/>
      </w:pPr>
      <w:r>
        <w:t xml:space="preserve">Într-o lume în care consumul fizic rămâne o necesitate vitală, iar digitalizarea redefinește modul în care interacționăm cu brandurile,</w:t>
      </w:r>
      <w:r>
        <w:t xml:space="preserve"> </w:t>
      </w:r>
      <w:r>
        <w:rPr>
          <w:bCs/>
          <w:b/>
        </w:rPr>
        <w:t xml:space="preserve">River Token</w:t>
      </w:r>
      <w:r>
        <w:t xml:space="preserve"> </w:t>
      </w:r>
      <w:r>
        <w:t xml:space="preserve">propune un nou standard: un model de recompensare prin consum. Apa este unul dintre cele mai universale și indispensabile produse din viața cotidiană. În același timp, tot mai mulți oameni sunt atrași de oportunitățile oferite de ecosistemele digitale și de activele descentralizate.</w:t>
      </w:r>
    </w:p>
    <w:p>
      <w:pPr>
        <w:pStyle w:val="BodyText"/>
      </w:pPr>
      <w:r>
        <w:rPr>
          <w:bCs/>
          <w:b/>
        </w:rPr>
        <w:t xml:space="preserve">River Token</w:t>
      </w:r>
      <w:r>
        <w:t xml:space="preserve"> </w:t>
      </w:r>
      <w:r>
        <w:t xml:space="preserve">este un produs dual: pe de o parte, o apă îmbuteliată de calitate superioară, destinată consumului zilnic; pe de altă parte, un activ digital utilitar care recompensează fidelitatea consumatorului. Pentru fiecare sticlă de apă achiziționată, utilizatorul primește un token digital, simbol al contribuției sale la dezvoltarea brandului.</w:t>
      </w:r>
    </w:p>
    <w:p>
      <w:pPr>
        <w:pStyle w:val="BodyText"/>
      </w:pPr>
      <w:r>
        <w:t xml:space="preserve">Ceea ce diferențiază acest proiect de orice inițiativă asemănătoare este</w:t>
      </w:r>
      <w:r>
        <w:t xml:space="preserve"> </w:t>
      </w:r>
      <w:r>
        <w:rPr>
          <w:bCs/>
          <w:b/>
        </w:rPr>
        <w:t xml:space="preserve">mecanismul de lichiditate direct corelat cu vânzările fizice</w:t>
      </w:r>
      <w:r>
        <w:t xml:space="preserve">. River Token nu este doar o monedă digitală listată pe piață; este un token susținut activ de rezultatele comerciale ale produsului fizic. În mod concret:</w:t>
      </w:r>
    </w:p>
    <w:p>
      <w:pPr>
        <w:numPr>
          <w:ilvl w:val="0"/>
          <w:numId w:val="1001"/>
        </w:numPr>
        <w:pStyle w:val="Compact"/>
      </w:pPr>
      <w:r>
        <w:rPr>
          <w:bCs/>
          <w:b/>
        </w:rPr>
        <w:t xml:space="preserve">Până la atingerea pragului de 10.000 de utilizatori unici activi</w:t>
      </w:r>
      <w:r>
        <w:t xml:space="preserve"> </w:t>
      </w:r>
      <w:r>
        <w:t xml:space="preserve">— moment care declanșează și listarea tokenului $RIVR pe piață — o</w:t>
      </w:r>
      <w:r>
        <w:t xml:space="preserve"> </w:t>
      </w:r>
      <w:r>
        <w:rPr>
          <w:bCs/>
          <w:b/>
        </w:rPr>
        <w:t xml:space="preserve">sumă fixă de 50 de bani pe fiecare unitate vândută</w:t>
      </w:r>
      <w:r>
        <w:t xml:space="preserve"> </w:t>
      </w:r>
      <w:r>
        <w:t xml:space="preserve">este direcționată către susținerea lichidității tokenului $RIVR.</w:t>
      </w:r>
    </w:p>
    <w:p>
      <w:pPr>
        <w:numPr>
          <w:ilvl w:val="0"/>
          <w:numId w:val="1001"/>
        </w:numPr>
        <w:pStyle w:val="Compact"/>
      </w:pPr>
      <w:r>
        <w:t xml:space="preserve">După atingerea acestui prag și listarea tokenului,</w:t>
      </w:r>
      <w:r>
        <w:t xml:space="preserve"> </w:t>
      </w:r>
      <w:r>
        <w:rPr>
          <w:bCs/>
          <w:b/>
        </w:rPr>
        <w:t xml:space="preserve">25% din profit</w:t>
      </w:r>
      <w:r>
        <w:t xml:space="preserve"> </w:t>
      </w:r>
      <w:r>
        <w:t xml:space="preserve">sunt alocate</w:t>
      </w:r>
      <w:r>
        <w:t xml:space="preserve"> </w:t>
      </w:r>
      <w:r>
        <w:rPr>
          <w:bCs/>
          <w:b/>
        </w:rPr>
        <w:t xml:space="preserve">trimestrial</w:t>
      </w:r>
      <w:r>
        <w:t xml:space="preserve"> </w:t>
      </w:r>
      <w:r>
        <w:t xml:space="preserve">către lichiditatea și consolidarea ecosistemului tokenului.</w:t>
      </w:r>
    </w:p>
    <w:p>
      <w:pPr>
        <w:pStyle w:val="FirstParagraph"/>
      </w:pPr>
      <w:r>
        <w:t xml:space="preserve">Această politică nu este una temporară, ci un angajament pe termen lung: atâta timp cât există</w:t>
      </w:r>
      <w:r>
        <w:t xml:space="preserve"> </w:t>
      </w:r>
      <w:r>
        <w:rPr>
          <w:bCs/>
          <w:b/>
        </w:rPr>
        <w:t xml:space="preserve">apa River Token</w:t>
      </w:r>
      <w:r>
        <w:t xml:space="preserve">, va exista și susținerea financiară reală a tokenului $RIVR.</w:t>
      </w:r>
    </w:p>
    <w:p>
      <w:pPr>
        <w:pStyle w:val="BodyText"/>
      </w:pPr>
      <w:r>
        <w:t xml:space="preserve">În faza de lansare, proiectul vizează un volum de</w:t>
      </w:r>
      <w:r>
        <w:t xml:space="preserve"> </w:t>
      </w:r>
      <w:r>
        <w:rPr>
          <w:bCs/>
          <w:b/>
        </w:rPr>
        <w:t xml:space="preserve">50.000.000 de sticle</w:t>
      </w:r>
      <w:r>
        <w:t xml:space="preserve"> </w:t>
      </w:r>
      <w:r>
        <w:t xml:space="preserve">și un</w:t>
      </w:r>
      <w:r>
        <w:t xml:space="preserve"> </w:t>
      </w:r>
      <w:r>
        <w:rPr>
          <w:bCs/>
          <w:b/>
        </w:rPr>
        <w:t xml:space="preserve">total supply de 100.000.000 de tokeni</w:t>
      </w:r>
      <w:r>
        <w:t xml:space="preserve">. Lansarea comercială a produsului fizic are loc</w:t>
      </w:r>
      <w:r>
        <w:t xml:space="preserve"> </w:t>
      </w:r>
      <w:r>
        <w:rPr>
          <w:bCs/>
          <w:b/>
        </w:rPr>
        <w:t xml:space="preserve">în cursul lunii august 2026</w:t>
      </w:r>
      <w:r>
        <w:t xml:space="preserve">, prin magazinul online oficial (www.river-token.com). Lansarea oficială a monedei pe piață (transferul on-chain al tokenilor)</w:t>
      </w:r>
      <w:r>
        <w:t xml:space="preserve"> </w:t>
      </w:r>
      <w:r>
        <w:rPr>
          <w:bCs/>
          <w:b/>
        </w:rPr>
        <w:t xml:space="preserve">nu este legată de o dată calendaristică fixă</w:t>
      </w:r>
      <w:r>
        <w:t xml:space="preserve">, ci de atingerea unui prag intern de adopție — detaliat în Capitolul 4.</w:t>
      </w:r>
    </w:p>
    <w:p>
      <w:pPr>
        <w:pStyle w:val="BodyText"/>
      </w:pPr>
      <w:r>
        <w:t xml:space="preserve">Pe termen mediu și lung, viziunea River Token este clară:</w:t>
      </w:r>
      <w:r>
        <w:t xml:space="preserve"> </w:t>
      </w:r>
      <w:r>
        <w:rPr>
          <w:bCs/>
          <w:b/>
        </w:rPr>
        <w:t xml:space="preserve">extindere regională și internațională</w:t>
      </w:r>
      <w:r>
        <w:t xml:space="preserve">, începând cu regiunea balcanică, continuând cu Europa de Vest și, ulterior, la nivel global.</w:t>
      </w:r>
    </w:p>
    <w:p>
      <w:pPr>
        <w:pStyle w:val="BodyText"/>
      </w:pPr>
      <w:r>
        <w:t xml:space="preserve">River Token nu cere oamenilor să investească bani în active digitale; îi recompensează pentru ceea ce fac deja,</w:t>
      </w:r>
      <w:r>
        <w:t xml:space="preserve"> </w:t>
      </w:r>
      <w:r>
        <w:rPr>
          <w:bCs/>
          <w:b/>
        </w:rPr>
        <w:t xml:space="preserve">consumul de apă</w:t>
      </w:r>
      <w:r>
        <w:t xml:space="preserve">. Astfel, fiecare gest de consum devine o contribuție directă într-un ecosistem descentralizat, unde loialitatea este răsplătită echitabil și transparent.</w:t>
      </w:r>
    </w:p>
    <w:bookmarkEnd w:id="20"/>
    <w:bookmarkStart w:id="21" w:name="X6a5c1b8b8fbebcb8da22294fa1f2442f02c6001"/>
    <w:p>
      <w:pPr>
        <w:pStyle w:val="Heading1"/>
      </w:pPr>
      <w:r>
        <w:t xml:space="preserve">Capitolul 2 — Prezentarea produsului fizic: RIVER TOKEN</w:t>
      </w:r>
    </w:p>
    <w:p>
      <w:pPr>
        <w:pStyle w:val="FirstParagraph"/>
      </w:pPr>
      <w:r>
        <w:rPr>
          <w:bCs/>
          <w:b/>
        </w:rPr>
        <w:t xml:space="preserve">River Token</w:t>
      </w:r>
      <w:r>
        <w:t xml:space="preserve"> </w:t>
      </w:r>
      <w:r>
        <w:t xml:space="preserve">este o apă de izvor îmbuteliată în recipient de 0.5 litri, creată pentru a oferi consumatorilor o experiență dublă: hidratare zilnică și acces la o valoare digitală reală. Produsul se încadrează în categoria apelor minerale de izvor și este conceput să răspundă cerințelor de calitate, siguranță și accesibilitate ale unui public larg — de la tineri activi și conectați digital, până la consumatori practici care aleg branduri în funcție de raportul calitate-preț.</w:t>
      </w:r>
    </w:p>
    <w:p>
      <w:pPr>
        <w:pStyle w:val="BodyText"/>
      </w:pPr>
      <w:r>
        <w:rPr>
          <w:bCs/>
          <w:b/>
        </w:rPr>
        <w:t xml:space="preserve">Origine și producție</w:t>
      </w:r>
    </w:p>
    <w:p>
      <w:pPr>
        <w:pStyle w:val="BodyText"/>
      </w:pPr>
      <w:r>
        <w:t xml:space="preserve">Apa este îmbuteliată în România, printr-un parteneriat contractual cu o unitate cu experiență în producția de băuturi non-alcoolice de calitate. Sursa este recunoscută pentru calitatea apei de izvor, cu mineralizare redusă, potrivită pentru consum frecvent. Din motive comerciale, identitatea producătorului nu este publicată în acest document.</w:t>
      </w:r>
    </w:p>
    <w:p>
      <w:pPr>
        <w:pStyle w:val="BodyText"/>
      </w:pPr>
      <w:r>
        <w:t xml:space="preserve">Pe termen mediu și lung, echipa River Token va evalua constant cea mai bună variantă pentru extinderea capacității de producție — fie prin achiziția unei fabrici de îmbuteliere existente, fie prin construcția unei unități proprii, fie prin consolidarea parteneriatelor actuale — decizia urmând să fie luată în funcție de evoluția reală a vânzărilor și de nevoile operaționale ale proiectului.</w:t>
      </w:r>
    </w:p>
    <w:p>
      <w:pPr>
        <w:pStyle w:val="BodyText"/>
      </w:pPr>
      <w:r>
        <w:rPr>
          <w:bCs/>
          <w:b/>
        </w:rPr>
        <w:t xml:space="preserve">Ambalaj și design</w:t>
      </w:r>
    </w:p>
    <w:p>
      <w:pPr>
        <w:pStyle w:val="BodyText"/>
      </w:pPr>
      <w:r>
        <w:t xml:space="preserve">Apa este îmbuteliată în flacoane PET de 0.5 litri, ușoare, reciclabile și ușor de depozitat. Eticheta River Token a fost concepută pentru a transmite un echilibru între minimalism modern și identitate vizuală memorabilă, bazat pe un element grafic inspirat din logo — o linie curbată fluidă, regăsită în toate materialele promoționale, ceea ce generează coerență și recognoscibilitate la raft.</w:t>
      </w:r>
    </w:p>
    <w:p>
      <w:pPr>
        <w:pStyle w:val="BodyText"/>
      </w:pPr>
      <w:r>
        <w:t xml:space="preserve">Culorile, tipografia și layout-ul subliniază valorile centrale ale brandului:</w:t>
      </w:r>
      <w:r>
        <w:t xml:space="preserve"> </w:t>
      </w:r>
      <w:r>
        <w:rPr>
          <w:bCs/>
          <w:b/>
        </w:rPr>
        <w:t xml:space="preserve">modernitate, transparență și apartenență la o comunitate digitală</w:t>
      </w:r>
      <w:r>
        <w:t xml:space="preserve">.</w:t>
      </w:r>
    </w:p>
    <w:p>
      <w:pPr>
        <w:pStyle w:val="BodyText"/>
      </w:pPr>
      <w:r>
        <w:rPr>
          <w:bCs/>
          <w:b/>
        </w:rPr>
        <w:t xml:space="preserve">Cod unic — legătura cu tokenul</w:t>
      </w:r>
    </w:p>
    <w:p>
      <w:pPr>
        <w:pStyle w:val="BodyText"/>
      </w:pPr>
      <w:r>
        <w:t xml:space="preserve">Fiecare sticlă de River Token conține un cod unic de 11 caractere, imprimat discret în interiorul capacului. Acest cod reprezintă</w:t>
      </w:r>
      <w:r>
        <w:t xml:space="preserve"> </w:t>
      </w:r>
      <w:r>
        <w:rPr>
          <w:bCs/>
          <w:b/>
        </w:rPr>
        <w:t xml:space="preserve">dovada de achiziție</w:t>
      </w:r>
      <w:r>
        <w:t xml:space="preserve"> </w:t>
      </w:r>
      <w:r>
        <w:t xml:space="preserve">și permite utilizatorului să revendice valoarea aferentă în aplicația mobilă River Token, disponibilă deja pe App Store, Google Play și Huawei AppGallery.</w:t>
      </w:r>
    </w:p>
    <w:p>
      <w:pPr>
        <w:pStyle w:val="BodyText"/>
      </w:pPr>
      <w:r>
        <w:t xml:space="preserve">Codul va fi înregistrat sub formă de</w:t>
      </w:r>
      <w:r>
        <w:t xml:space="preserve"> </w:t>
      </w:r>
      <w:r>
        <w:rPr>
          <w:bCs/>
          <w:b/>
        </w:rPr>
        <w:t xml:space="preserve">puncte virtuale</w:t>
      </w:r>
      <w:r>
        <w:t xml:space="preserve">, care nu au valoare monetară și nu reprezintă tokeni reali. Punctele vor putea fi convertite în tokeni $RIVR abia la atingerea pragului intern de adopție descris în Capitolul 4, în funcție de balanța totală a fiecărui utilizator. Codurile sunt verificate automat în sistem pentru a preveni frauda sau dublările.</w:t>
      </w:r>
    </w:p>
    <w:p>
      <w:pPr>
        <w:pStyle w:val="BodyText"/>
      </w:pPr>
      <w:r>
        <w:rPr>
          <w:bCs/>
          <w:b/>
        </w:rPr>
        <w:t xml:space="preserve">Poziționare pe piață și canale de distribuție</w:t>
      </w:r>
    </w:p>
    <w:p>
      <w:pPr>
        <w:pStyle w:val="BodyText"/>
      </w:pPr>
      <w:r>
        <w:t xml:space="preserve">River Token se poziționează în segmentul</w:t>
      </w:r>
      <w:r>
        <w:t xml:space="preserve"> </w:t>
      </w:r>
      <w:r>
        <w:rPr>
          <w:bCs/>
          <w:b/>
        </w:rPr>
        <w:t xml:space="preserve">mainstream-accesibil</w:t>
      </w:r>
      <w:r>
        <w:t xml:space="preserve">, cu un preț competitiv și o valoare adăugată unică: fiecare sticlă oferă și o recompensă digitală.</w:t>
      </w:r>
    </w:p>
    <w:p>
      <w:pPr>
        <w:pStyle w:val="BodyText"/>
      </w:pPr>
      <w:r>
        <w:t xml:space="preserve">Lansarea comercială are loc</w:t>
      </w:r>
      <w:r>
        <w:t xml:space="preserve"> </w:t>
      </w:r>
      <w:r>
        <w:rPr>
          <w:bCs/>
          <w:b/>
        </w:rPr>
        <w:t xml:space="preserve">în cursul lunii august 2026</w:t>
      </w:r>
      <w:r>
        <w:t xml:space="preserve">, prin magazinul online propriu. Canalele de distribuție ulterioare vor include, în funcție de evoluția proiectului:</w:t>
      </w:r>
    </w:p>
    <w:p>
      <w:pPr>
        <w:numPr>
          <w:ilvl w:val="0"/>
          <w:numId w:val="1002"/>
        </w:numPr>
        <w:pStyle w:val="Compact"/>
      </w:pPr>
      <w:r>
        <w:t xml:space="preserve">rețele mari de supermarketuri din România,</w:t>
      </w:r>
    </w:p>
    <w:p>
      <w:pPr>
        <w:numPr>
          <w:ilvl w:val="0"/>
          <w:numId w:val="1002"/>
        </w:numPr>
        <w:pStyle w:val="Compact"/>
      </w:pPr>
      <w:r>
        <w:t xml:space="preserve">retail tradițional,</w:t>
      </w:r>
    </w:p>
    <w:p>
      <w:pPr>
        <w:numPr>
          <w:ilvl w:val="0"/>
          <w:numId w:val="1002"/>
        </w:numPr>
        <w:pStyle w:val="Compact"/>
      </w:pPr>
      <w:r>
        <w:t xml:space="preserve">segmentul HoReCa,</w:t>
      </w:r>
    </w:p>
    <w:p>
      <w:pPr>
        <w:numPr>
          <w:ilvl w:val="0"/>
          <w:numId w:val="1002"/>
        </w:numPr>
        <w:pStyle w:val="Compact"/>
      </w:pPr>
      <w:r>
        <w:t xml:space="preserve">platforme de vânzare online.</w:t>
      </w:r>
    </w:p>
    <w:p>
      <w:pPr>
        <w:pStyle w:val="FirstParagraph"/>
      </w:pPr>
      <w:r>
        <w:rPr>
          <w:bCs/>
          <w:b/>
        </w:rPr>
        <w:t xml:space="preserve">Scalabilitate și perspective</w:t>
      </w:r>
    </w:p>
    <w:p>
      <w:pPr>
        <w:pStyle w:val="BodyText"/>
      </w:pPr>
      <w:r>
        <w:t xml:space="preserve">Modelul River Token este conceput să funcționeze pe o piață globală, cu un</w:t>
      </w:r>
      <w:r>
        <w:t xml:space="preserve"> </w:t>
      </w:r>
      <w:r>
        <w:rPr>
          <w:bCs/>
          <w:b/>
        </w:rPr>
        <w:t xml:space="preserve">mecanism transparent și scalabil</w:t>
      </w:r>
      <w:r>
        <w:t xml:space="preserve">. Obiectivul comercial pe termen scurt și mediu este vânzarea celor</w:t>
      </w:r>
      <w:r>
        <w:t xml:space="preserve"> </w:t>
      </w:r>
      <w:r>
        <w:rPr>
          <w:bCs/>
          <w:b/>
        </w:rPr>
        <w:t xml:space="preserve">50.000.000 de sticle</w:t>
      </w:r>
      <w:r>
        <w:t xml:space="preserve"> </w:t>
      </w:r>
      <w:r>
        <w:t xml:space="preserve">care fundamentează volumul total de tokeni de recompensă alocat consumatorilor, urmată de extinderea în regiunea balcanică, apoi în Europa de Vest și alte piețe internaționale, în funcție de rezultatele comerciale reale ale fazelor anterioare.</w:t>
      </w:r>
    </w:p>
    <w:p>
      <w:pPr>
        <w:pStyle w:val="BodyText"/>
      </w:pPr>
      <w:r>
        <w:t xml:space="preserve">Fiecare sticlă vândută nu înseamnă doar un produs fizic, ci și o</w:t>
      </w:r>
      <w:r>
        <w:t xml:space="preserve"> </w:t>
      </w:r>
      <w:r>
        <w:rPr>
          <w:bCs/>
          <w:b/>
        </w:rPr>
        <w:t xml:space="preserve">contribuție directă la capitalizarea unui ecosistem digital real</w:t>
      </w:r>
      <w:r>
        <w:t xml:space="preserve">, în care tokenul $RIVR reflectă performanța economică a brandului și loialitatea consumatorului.</w:t>
      </w:r>
    </w:p>
    <w:bookmarkEnd w:id="21"/>
    <w:bookmarkStart w:id="22" w:name="capitolul-3-arhitectura-tokenului"/>
    <w:p>
      <w:pPr>
        <w:pStyle w:val="Heading1"/>
      </w:pPr>
      <w:r>
        <w:t xml:space="preserve">Capitolul 3 — Arhitectura tokenului</w:t>
      </w:r>
    </w:p>
    <w:p>
      <w:pPr>
        <w:pStyle w:val="FirstParagraph"/>
      </w:pPr>
      <w:r>
        <w:t xml:space="preserve">La baza proiectului River Token se află un mecanism simplu, dar puternic:</w:t>
      </w:r>
      <w:r>
        <w:t xml:space="preserve"> </w:t>
      </w:r>
      <w:r>
        <w:rPr>
          <w:bCs/>
          <w:b/>
        </w:rPr>
        <w:t xml:space="preserve">consumul fizic verificabil devine premisa unei recompense digitale</w:t>
      </w:r>
      <w:r>
        <w:t xml:space="preserve">. Fiecare sticlă de apă cumpărată oferă utilizatorului dreptul de a revendica un token digital, folosind codul unic plasat sub capac. Astfel, River Token transformă gestul de consum într-o contribuție directă la un ecosistem digital susținut economic de produsul fizic.</w:t>
      </w:r>
    </w:p>
    <w:p>
      <w:pPr>
        <w:pStyle w:val="BodyText"/>
      </w:pPr>
      <w:r>
        <w:t xml:space="preserve">Tokenul $RIVR este construit nativ pe</w:t>
      </w:r>
      <w:r>
        <w:t xml:space="preserve"> </w:t>
      </w:r>
      <w:r>
        <w:rPr>
          <w:bCs/>
          <w:b/>
        </w:rPr>
        <w:t xml:space="preserve">blockchain-ul MultiversX</w:t>
      </w:r>
      <w:r>
        <w:t xml:space="preserve">, ales pentru eficiența sa energetică, viteza ridicată de procesare și capacitatea de a gestiona micro-tranzacții în mod sigur și scalabil. Arhitectura sa permite integrarea facilă cu aplicații mobile, portofele digitale și platforme de tranzacționare (DEX/CEX) compatibile.</w:t>
      </w:r>
    </w:p>
    <w:p>
      <w:pPr>
        <w:pStyle w:val="BodyText"/>
      </w:pPr>
      <w:r>
        <w:rPr>
          <w:bCs/>
          <w:b/>
        </w:rPr>
        <w:t xml:space="preserve">Mecanism de funcționare</w:t>
      </w:r>
    </w:p>
    <w:p>
      <w:pPr>
        <w:pStyle w:val="BodyText"/>
      </w:pPr>
      <w:r>
        <w:t xml:space="preserve">Fiecare sticlă de apă River Token conține un</w:t>
      </w:r>
      <w:r>
        <w:t xml:space="preserve"> </w:t>
      </w:r>
      <w:r>
        <w:rPr>
          <w:bCs/>
          <w:b/>
        </w:rPr>
        <w:t xml:space="preserve">cod unic de 11 caractere</w:t>
      </w:r>
      <w:r>
        <w:t xml:space="preserve">, imprimat discret în interiorul capacului. Codul este generat pe baza unei baze de date interne criptate și este asociat unui lot fizic validat.</w:t>
      </w:r>
    </w:p>
    <w:p>
      <w:pPr>
        <w:pStyle w:val="BodyText"/>
      </w:pPr>
      <w:r>
        <w:t xml:space="preserve">Utilizatorul introduce acest cod în</w:t>
      </w:r>
      <w:r>
        <w:t xml:space="preserve"> </w:t>
      </w:r>
      <w:r>
        <w:rPr>
          <w:bCs/>
          <w:b/>
        </w:rPr>
        <w:t xml:space="preserve">aplicația mobilă River Token</w:t>
      </w:r>
      <w:r>
        <w:t xml:space="preserve">, unde este verificat automat pentru unicitate. Dacă este valid, se înregistrează o</w:t>
      </w:r>
      <w:r>
        <w:t xml:space="preserve"> </w:t>
      </w:r>
      <w:r>
        <w:rPr>
          <w:bCs/>
          <w:b/>
        </w:rPr>
        <w:t xml:space="preserve">recompensă virtuală (punct)</w:t>
      </w:r>
      <w:r>
        <w:t xml:space="preserve"> </w:t>
      </w:r>
      <w:r>
        <w:t xml:space="preserve">în contul utilizatorului. Aceste puncte nu sunt tokeni on-chain, ci reprezintă drepturi de revendicare viitoare, condiționate de atingerea pragului de adopție descris în Capitolul 4.</w:t>
      </w:r>
    </w:p>
    <w:p>
      <w:pPr>
        <w:pStyle w:val="BodyText"/>
      </w:pPr>
      <w:r>
        <w:t xml:space="preserve">Această abordare permite o contabilizare eficientă, fără cheltuieli blockchain premature și fără a crea presiune artificială asupra lichidității din piață.</w:t>
      </w:r>
    </w:p>
    <w:p>
      <w:pPr>
        <w:pStyle w:val="BodyText"/>
      </w:pPr>
      <w:r>
        <w:rPr>
          <w:bCs/>
          <w:b/>
        </w:rPr>
        <w:t xml:space="preserve">Emisia și existența tokenului în rețea</w:t>
      </w:r>
    </w:p>
    <w:p>
      <w:pPr>
        <w:pStyle w:val="BodyText"/>
      </w:pPr>
      <w:r>
        <w:t xml:space="preserve">Un total fix de</w:t>
      </w:r>
      <w:r>
        <w:t xml:space="preserve"> </w:t>
      </w:r>
      <w:r>
        <w:rPr>
          <w:bCs/>
          <w:b/>
        </w:rPr>
        <w:t xml:space="preserve">100.000.000 tokeni $RIVR</w:t>
      </w:r>
      <w:r>
        <w:t xml:space="preserve"> </w:t>
      </w:r>
      <w:r>
        <w:t xml:space="preserve">este generat și stocat într-un wallet principal, vizibil public pe rețeaua MultiversX. Tokenii nu sunt transferabili și nu pot fi folosiți în perioada de pre-activare — aceștia rămân inactivi până la momentul activării descrise în Capitolul 4.</w:t>
      </w:r>
    </w:p>
    <w:p>
      <w:pPr>
        <w:pStyle w:val="BodyText"/>
      </w:pPr>
      <w:r>
        <w:rPr>
          <w:bCs/>
          <w:b/>
        </w:rPr>
        <w:t xml:space="preserve">Corelarea strictă cu vânzările reale</w:t>
      </w:r>
    </w:p>
    <w:p>
      <w:pPr>
        <w:pStyle w:val="BodyText"/>
      </w:pPr>
      <w:r>
        <w:t xml:space="preserve">Un element definitoriu al arhitecturii River Token este</w:t>
      </w:r>
      <w:r>
        <w:t xml:space="preserve"> </w:t>
      </w:r>
      <w:r>
        <w:rPr>
          <w:bCs/>
          <w:b/>
        </w:rPr>
        <w:t xml:space="preserve">trasabilitatea vânzărilor fizice</w:t>
      </w:r>
      <w:r>
        <w:t xml:space="preserve">. Tokenii nu pot fi revendicați fără codul unic din capac — dovada achiziției reale. Fiecare cod este asociat unei sticle fizice și este verificat în timp real de aplicație. După prima utilizare, codul devine inactiv, ceea ce previne tentativele de fraudă sau dublare.</w:t>
      </w:r>
    </w:p>
    <w:p>
      <w:pPr>
        <w:pStyle w:val="BodyText"/>
      </w:pPr>
      <w:r>
        <w:t xml:space="preserve">În plus, codurile sunt generate pe loturi și sincronizate cu distribuția fizică, astfel încât nu pot exista tokeni „fantomă” sau recompense nejustificate.</w:t>
      </w:r>
    </w:p>
    <w:p>
      <w:pPr>
        <w:pStyle w:val="BodyText"/>
      </w:pPr>
      <w:r>
        <w:rPr>
          <w:bCs/>
          <w:b/>
        </w:rPr>
        <w:t xml:space="preserve">Activarea și distribuția tokenilor</w:t>
      </w:r>
    </w:p>
    <w:p>
      <w:pPr>
        <w:pStyle w:val="BodyText"/>
      </w:pPr>
      <w:r>
        <w:t xml:space="preserve">După activarea tokenului $RIVR pe rețea, aplicația va introduce un modul de</w:t>
      </w:r>
      <w:r>
        <w:t xml:space="preserve"> </w:t>
      </w:r>
      <w:r>
        <w:rPr>
          <w:bCs/>
          <w:b/>
        </w:rPr>
        <w:t xml:space="preserve">wallet MultiversX</w:t>
      </w:r>
      <w:r>
        <w:t xml:space="preserve">, unde utilizatorul va introduce adresa proprie. În acel moment, punctele acumulate vor putea fi</w:t>
      </w:r>
      <w:r>
        <w:t xml:space="preserve"> </w:t>
      </w:r>
      <w:r>
        <w:rPr>
          <w:bCs/>
          <w:b/>
        </w:rPr>
        <w:t xml:space="preserve">convertite în tokeni reali</w:t>
      </w:r>
      <w:r>
        <w:t xml:space="preserve"> </w:t>
      </w:r>
      <w:r>
        <w:t xml:space="preserve">și transferate on-chain, într-un proces etapizat, descris în Capitolul 4. Transparența va fi asigurată prin smart contracte publice și rapoarte periodice privind starea lichidității și soldul portofelului principal.</w:t>
      </w:r>
    </w:p>
    <w:bookmarkEnd w:id="22"/>
    <w:bookmarkStart w:id="26" w:name="capitolul-4-tokenomics"/>
    <w:p>
      <w:pPr>
        <w:pStyle w:val="Heading1"/>
      </w:pPr>
      <w:r>
        <w:t xml:space="preserve">Capitolul 4 — Tokenomics</w:t>
      </w:r>
    </w:p>
    <w:p>
      <w:pPr>
        <w:pStyle w:val="FirstParagraph"/>
      </w:pPr>
      <w:r>
        <w:t xml:space="preserve">Tokenul $RIVR este coloana vertebrală digitală a ecosistemului River Token. Construit pe o logică de</w:t>
      </w:r>
      <w:r>
        <w:t xml:space="preserve"> </w:t>
      </w:r>
      <w:r>
        <w:rPr>
          <w:bCs/>
          <w:b/>
        </w:rPr>
        <w:t xml:space="preserve">proof-of-purchase</w:t>
      </w:r>
      <w:r>
        <w:t xml:space="preserve"> </w:t>
      </w:r>
      <w:r>
        <w:t xml:space="preserve">verificabil, el nu este destinat speculației, ci</w:t>
      </w:r>
      <w:r>
        <w:t xml:space="preserve"> </w:t>
      </w:r>
      <w:r>
        <w:rPr>
          <w:bCs/>
          <w:b/>
        </w:rPr>
        <w:t xml:space="preserve">recompensării loialității consumatorului</w:t>
      </w:r>
      <w:r>
        <w:t xml:space="preserve"> </w:t>
      </w:r>
      <w:r>
        <w:t xml:space="preserve">și susținerii unei creșteri sustenabile a brandului, în lumea fizică și digitală deopotrivă.</w:t>
      </w:r>
    </w:p>
    <w:p>
      <w:pPr>
        <w:pStyle w:val="BodyText"/>
      </w:pPr>
      <w:r>
        <w:t xml:space="preserve">Fiecare token emis corespunde unei acțiuni reale — consumul de apă îmbuteliată — și este susținut de o injecție constantă de lichiditate provenită din veniturile obținute. Astfel, valoarea tokenului este ancorată în</w:t>
      </w:r>
      <w:r>
        <w:t xml:space="preserve"> </w:t>
      </w:r>
      <w:r>
        <w:rPr>
          <w:bCs/>
          <w:b/>
        </w:rPr>
        <w:t xml:space="preserve">performanța economică a produsului fizic</w:t>
      </w:r>
      <w:r>
        <w:t xml:space="preserve">, nu în promisiuni speculative.</w:t>
      </w:r>
    </w:p>
    <w:p>
      <w:pPr>
        <w:pStyle w:val="BodyText"/>
      </w:pPr>
      <w:r>
        <w:rPr>
          <w:bCs/>
          <w:b/>
        </w:rPr>
        <w:t xml:space="preserve">Structura generală — 100.000.000 tokeni</w:t>
      </w:r>
    </w:p>
    <w:p>
      <w:pPr>
        <w:pStyle w:val="BodyText"/>
      </w:pPr>
      <w:r>
        <w:t xml:space="preserve">Oferta totală este</w:t>
      </w:r>
      <w:r>
        <w:t xml:space="preserve"> </w:t>
      </w:r>
      <w:r>
        <w:rPr>
          <w:bCs/>
          <w:b/>
        </w:rPr>
        <w:t xml:space="preserve">fixă și limitată</w:t>
      </w:r>
      <w:r>
        <w:t xml:space="preserve"> </w:t>
      </w:r>
      <w:r>
        <w:t xml:space="preserve">la 100.000.000 $RIVR. Nu va exista inflație ulterioară, iar tokenii au fost generați integral în walletul principal al proiectului. Distribuția se face gradual, conform următoarei alocări:</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Procent</w:t>
            </w:r>
          </w:p>
        </w:tc>
        <w:tc>
          <w:tcPr/>
          <w:p>
            <w:pPr>
              <w:pStyle w:val="Compact"/>
              <w:jc w:val="left"/>
            </w:pPr>
            <w:r>
              <w:t xml:space="preserve">Număr tokeni</w:t>
            </w:r>
          </w:p>
        </w:tc>
        <w:tc>
          <w:tcPr/>
          <w:p>
            <w:pPr>
              <w:pStyle w:val="Compact"/>
              <w:jc w:val="left"/>
            </w:pPr>
            <w:r>
              <w:t xml:space="preserve">Detalii cheie</w:t>
            </w:r>
          </w:p>
        </w:tc>
      </w:tr>
      <w:tr>
        <w:tc>
          <w:tcPr/>
          <w:p>
            <w:pPr>
              <w:pStyle w:val="Compact"/>
              <w:jc w:val="left"/>
            </w:pPr>
            <w:r>
              <w:t xml:space="preserve">Recompense consumatori</w:t>
            </w:r>
          </w:p>
        </w:tc>
        <w:tc>
          <w:tcPr/>
          <w:p>
            <w:pPr>
              <w:pStyle w:val="Compact"/>
              <w:jc w:val="left"/>
            </w:pPr>
            <w:r>
              <w:t xml:space="preserve">50%</w:t>
            </w:r>
          </w:p>
        </w:tc>
        <w:tc>
          <w:tcPr/>
          <w:p>
            <w:pPr>
              <w:pStyle w:val="Compact"/>
              <w:jc w:val="left"/>
            </w:pPr>
            <w:r>
              <w:t xml:space="preserve">50.000.000 $RIVR</w:t>
            </w:r>
          </w:p>
        </w:tc>
        <w:tc>
          <w:tcPr/>
          <w:p>
            <w:pPr>
              <w:pStyle w:val="Compact"/>
              <w:jc w:val="left"/>
            </w:pPr>
            <w:r>
              <w:t xml:space="preserve">Tokeni oferiți pentru achiziția de apă. 1 sticlă = 1 token. Revendicare prin aplicație.</w:t>
            </w:r>
          </w:p>
        </w:tc>
      </w:tr>
      <w:tr>
        <w:tc>
          <w:tcPr/>
          <w:p>
            <w:pPr>
              <w:pStyle w:val="Compact"/>
              <w:jc w:val="left"/>
            </w:pPr>
            <w:r>
              <w:t xml:space="preserve">Lichiditate exchange</w:t>
            </w:r>
          </w:p>
        </w:tc>
        <w:tc>
          <w:tcPr/>
          <w:p>
            <w:pPr>
              <w:pStyle w:val="Compact"/>
              <w:jc w:val="left"/>
            </w:pPr>
            <w:r>
              <w:t xml:space="preserve">20%</w:t>
            </w:r>
          </w:p>
        </w:tc>
        <w:tc>
          <w:tcPr/>
          <w:p>
            <w:pPr>
              <w:pStyle w:val="Compact"/>
              <w:jc w:val="left"/>
            </w:pPr>
            <w:r>
              <w:t xml:space="preserve">20.000.000 $RIVR</w:t>
            </w:r>
          </w:p>
        </w:tc>
        <w:tc>
          <w:tcPr/>
          <w:p>
            <w:pPr>
              <w:pStyle w:val="Compact"/>
              <w:jc w:val="left"/>
            </w:pPr>
            <w:r>
              <w:t xml:space="preserve">Alocați pentru DEX/CEX, asigurarea pieței secundare.</w:t>
            </w:r>
          </w:p>
        </w:tc>
      </w:tr>
      <w:tr>
        <w:tc>
          <w:tcPr/>
          <w:p>
            <w:pPr>
              <w:pStyle w:val="Compact"/>
              <w:jc w:val="left"/>
            </w:pPr>
            <w:r>
              <w:t xml:space="preserve">Echipă fondatoare</w:t>
            </w:r>
          </w:p>
        </w:tc>
        <w:tc>
          <w:tcPr/>
          <w:p>
            <w:pPr>
              <w:pStyle w:val="Compact"/>
              <w:jc w:val="left"/>
            </w:pPr>
            <w:r>
              <w:t xml:space="preserve">15%</w:t>
            </w:r>
          </w:p>
        </w:tc>
        <w:tc>
          <w:tcPr/>
          <w:p>
            <w:pPr>
              <w:pStyle w:val="Compact"/>
              <w:jc w:val="left"/>
            </w:pPr>
            <w:r>
              <w:t xml:space="preserve">15.000.000 $RIVR</w:t>
            </w:r>
          </w:p>
        </w:tc>
        <w:tc>
          <w:tcPr/>
          <w:p>
            <w:pPr>
              <w:pStyle w:val="Compact"/>
              <w:jc w:val="left"/>
            </w:pPr>
            <w:r>
              <w:t xml:space="preserve">Vesting strict 18 luni. Niciun acces imediat la tokeni.</w:t>
            </w:r>
          </w:p>
        </w:tc>
      </w:tr>
      <w:tr>
        <w:tc>
          <w:tcPr/>
          <w:p>
            <w:pPr>
              <w:pStyle w:val="Compact"/>
              <w:jc w:val="left"/>
            </w:pPr>
            <w:r>
              <w:t xml:space="preserve">Fond staking &amp; recompense</w:t>
            </w:r>
          </w:p>
        </w:tc>
        <w:tc>
          <w:tcPr/>
          <w:p>
            <w:pPr>
              <w:pStyle w:val="Compact"/>
              <w:jc w:val="left"/>
            </w:pPr>
            <w:r>
              <w:t xml:space="preserve">10%</w:t>
            </w:r>
          </w:p>
        </w:tc>
        <w:tc>
          <w:tcPr/>
          <w:p>
            <w:pPr>
              <w:pStyle w:val="Compact"/>
              <w:jc w:val="left"/>
            </w:pPr>
            <w:r>
              <w:t xml:space="preserve">10.000.000 $RIVR</w:t>
            </w:r>
          </w:p>
        </w:tc>
        <w:tc>
          <w:tcPr/>
          <w:p>
            <w:pPr>
              <w:pStyle w:val="Compact"/>
              <w:jc w:val="left"/>
            </w:pPr>
            <w:r>
              <w:t xml:space="preserve">Sistem de staking &amp; recompense pentru utilizatori activi, după activare.</w:t>
            </w:r>
          </w:p>
        </w:tc>
      </w:tr>
      <w:tr>
        <w:tc>
          <w:tcPr/>
          <w:p>
            <w:pPr>
              <w:pStyle w:val="Compact"/>
              <w:jc w:val="left"/>
            </w:pPr>
            <w:r>
              <w:t xml:space="preserve">Parteneriate strategice &amp; promoții</w:t>
            </w:r>
          </w:p>
        </w:tc>
        <w:tc>
          <w:tcPr/>
          <w:p>
            <w:pPr>
              <w:pStyle w:val="Compact"/>
              <w:jc w:val="left"/>
            </w:pPr>
            <w:r>
              <w:t xml:space="preserve">5%</w:t>
            </w:r>
          </w:p>
        </w:tc>
        <w:tc>
          <w:tcPr/>
          <w:p>
            <w:pPr>
              <w:pStyle w:val="Compact"/>
              <w:jc w:val="left"/>
            </w:pPr>
            <w:r>
              <w:t xml:space="preserve">5.000.000 $RIVR</w:t>
            </w:r>
          </w:p>
        </w:tc>
        <w:tc>
          <w:tcPr/>
          <w:p>
            <w:pPr>
              <w:pStyle w:val="Compact"/>
              <w:jc w:val="left"/>
            </w:pPr>
            <w:r>
              <w:t xml:space="preserve">Colaboratori, acțiuni de marketing, susținerea fazei de proiect.</w:t>
            </w:r>
          </w:p>
        </w:tc>
      </w:tr>
    </w:tbl>
    <w:p>
      <w:pPr>
        <w:pStyle w:val="BodyText"/>
      </w:pPr>
      <w:r>
        <w:rPr>
          <w:bCs/>
          <w:b/>
        </w:rPr>
        <w:t xml:space="preserve">Supply total: 100.000.000 $RIVR (100%)</w:t>
      </w:r>
    </w:p>
    <w:p>
      <w:pPr>
        <w:pStyle w:val="CaptionedFigure"/>
      </w:pPr>
      <w:r>
        <w:drawing>
          <wp:inline>
            <wp:extent cx="5334000" cy="4037563"/>
            <wp:effectExtent b="0" l="0" r="0" t="0"/>
            <wp:docPr descr="Alocarea supply-ului $RIVR" title="" id="24" name="Picture"/>
            <a:graphic>
              <a:graphicData uri="http://schemas.openxmlformats.org/drawingml/2006/picture">
                <pic:pic>
                  <pic:nvPicPr>
                    <pic:cNvPr descr="tokenomics_chart.png" id="25" name="Picture"/>
                    <pic:cNvPicPr>
                      <a:picLocks noChangeArrowheads="1" noChangeAspect="1"/>
                    </pic:cNvPicPr>
                  </pic:nvPicPr>
                  <pic:blipFill>
                    <a:blip r:embed="rId23"/>
                    <a:stretch>
                      <a:fillRect/>
                    </a:stretch>
                  </pic:blipFill>
                  <pic:spPr bwMode="auto">
                    <a:xfrm>
                      <a:off x="0" y="0"/>
                      <a:ext cx="5334000" cy="4037563"/>
                    </a:xfrm>
                    <a:prstGeom prst="rect">
                      <a:avLst/>
                    </a:prstGeom>
                    <a:noFill/>
                    <a:ln w="9525">
                      <a:noFill/>
                      <a:headEnd/>
                      <a:tailEnd/>
                    </a:ln>
                  </pic:spPr>
                </pic:pic>
              </a:graphicData>
            </a:graphic>
          </wp:inline>
        </w:drawing>
      </w:r>
    </w:p>
    <w:p>
      <w:pPr>
        <w:pStyle w:val="ImageCaption"/>
      </w:pPr>
      <w:r>
        <w:t xml:space="preserve">Alocarea supply-ului $RIVR</w:t>
      </w:r>
    </w:p>
    <w:p>
      <w:pPr>
        <w:pStyle w:val="BodyText"/>
      </w:pPr>
      <w:r>
        <w:rPr>
          <w:bCs/>
          <w:b/>
        </w:rPr>
        <w:t xml:space="preserve">Declanșarea activării tokenului — pragul de adopție</w:t>
      </w:r>
    </w:p>
    <w:p>
      <w:pPr>
        <w:pStyle w:val="BodyText"/>
      </w:pPr>
      <w:r>
        <w:t xml:space="preserve">Spre deosebire de un model bazat pe o dată calendaristică fixă, activarea tokenului $RIVR pe rețeaua MultiversX este condiționată de un</w:t>
      </w:r>
      <w:r>
        <w:t xml:space="preserve"> </w:t>
      </w:r>
      <w:r>
        <w:rPr>
          <w:bCs/>
          <w:b/>
        </w:rPr>
        <w:t xml:space="preserve">prag intern de adopție</w:t>
      </w:r>
      <w:r>
        <w:t xml:space="preserve">: atingerea a</w:t>
      </w:r>
      <w:r>
        <w:t xml:space="preserve"> </w:t>
      </w:r>
      <w:r>
        <w:rPr>
          <w:bCs/>
          <w:b/>
        </w:rPr>
        <w:t xml:space="preserve">10.000 de utilizatori unici activi</w:t>
      </w:r>
      <w:r>
        <w:t xml:space="preserve"> </w:t>
      </w:r>
      <w:r>
        <w:t xml:space="preserve">în aplicația mobilă River Token, definiți ca și conturi care au introdus cu succes cel puțin un cod valid de sub capac.</w:t>
      </w:r>
    </w:p>
    <w:p>
      <w:pPr>
        <w:pStyle w:val="BodyText"/>
      </w:pPr>
      <w:r>
        <w:t xml:space="preserve">Acest prag a fost ales pentru a garanta că activarea tokenului are loc într-un moment în care există deja o comunitate reală de utilizatori, evitând un scenariu în care tokenul devine tranzacționabil fără o bază de deținători activi. River Token</w:t>
      </w:r>
      <w:r>
        <w:t xml:space="preserve"> </w:t>
      </w:r>
      <w:r>
        <w:rPr>
          <w:bCs/>
          <w:b/>
        </w:rPr>
        <w:t xml:space="preserve">nu promite o dată fixă</w:t>
      </w:r>
      <w:r>
        <w:t xml:space="preserve"> </w:t>
      </w:r>
      <w:r>
        <w:t xml:space="preserve">pentru atingerea acestui prag — momentul depinde exclusiv de ritmul real de adopție al produsului.</w:t>
      </w:r>
    </w:p>
    <w:p>
      <w:pPr>
        <w:pStyle w:val="BodyText"/>
      </w:pPr>
      <w:r>
        <w:rPr>
          <w:bCs/>
          <w:b/>
        </w:rPr>
        <w:t xml:space="preserve">Distribuție și calendar de deblocare (Unlock Schedule)</w:t>
      </w:r>
    </w:p>
    <w:p>
      <w:pPr>
        <w:pStyle w:val="BodyText"/>
      </w:pPr>
      <w:r>
        <w:t xml:space="preserve">Tokenii</w:t>
      </w:r>
      <w:r>
        <w:t xml:space="preserve"> </w:t>
      </w:r>
      <w:r>
        <w:rPr>
          <w:bCs/>
          <w:b/>
        </w:rPr>
        <w:t xml:space="preserve">$RIVR</w:t>
      </w:r>
      <w:r>
        <w:t xml:space="preserve"> </w:t>
      </w:r>
      <w:r>
        <w:t xml:space="preserve">nu sunt transferați imediat în blockchain în momentul revendicării. În prima fază (înainte de activare), utilizatorul acumulează</w:t>
      </w:r>
      <w:r>
        <w:t xml:space="preserve"> </w:t>
      </w:r>
      <w:r>
        <w:rPr>
          <w:bCs/>
          <w:b/>
        </w:rPr>
        <w:t xml:space="preserve">drepturi de revendicare</w:t>
      </w:r>
      <w:r>
        <w:t xml:space="preserve"> </w:t>
      </w:r>
      <w:r>
        <w:t xml:space="preserve">sub formă de</w:t>
      </w:r>
      <w:r>
        <w:t xml:space="preserve"> </w:t>
      </w:r>
      <w:r>
        <w:rPr>
          <w:bCs/>
          <w:b/>
        </w:rPr>
        <w:t xml:space="preserve">puncte virtuale</w:t>
      </w:r>
      <w:r>
        <w:t xml:space="preserve"> </w:t>
      </w:r>
      <w:r>
        <w:t xml:space="preserve">în aplicația mobilă, prin introducerea codurilor unice de sub capac.</w:t>
      </w:r>
    </w:p>
    <w:p>
      <w:pPr>
        <w:pStyle w:val="BodyText"/>
      </w:pPr>
      <w:r>
        <w:t xml:space="preserve">După</w:t>
      </w:r>
      <w:r>
        <w:t xml:space="preserve"> </w:t>
      </w:r>
      <w:r>
        <w:rPr>
          <w:bCs/>
          <w:b/>
        </w:rPr>
        <w:t xml:space="preserve">atingerea pragului de 10.000 de utilizatori unici activi</w:t>
      </w:r>
      <w:r>
        <w:t xml:space="preserve">, punctele devin eligibile pentru conversie în tokeni reali, conform următorului calendar de distribuție on-chain: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Eveniment</w:t>
            </w:r>
          </w:p>
        </w:tc>
        <w:tc>
          <w:tcPr/>
          <w:p>
            <w:pPr>
              <w:pStyle w:val="Compact"/>
              <w:jc w:val="left"/>
            </w:pPr>
            <w:r>
              <w:t xml:space="preserve">Moment de referință</w:t>
            </w:r>
          </w:p>
        </w:tc>
        <w:tc>
          <w:tcPr/>
          <w:p>
            <w:pPr>
              <w:pStyle w:val="Compact"/>
              <w:jc w:val="left"/>
            </w:pPr>
            <w:r>
              <w:t xml:space="preserve">Descriere</w:t>
            </w:r>
          </w:p>
        </w:tc>
      </w:tr>
      <w:tr>
        <w:tc>
          <w:tcPr/>
          <w:p>
            <w:pPr>
              <w:pStyle w:val="Compact"/>
              <w:jc w:val="left"/>
            </w:pPr>
            <w:r>
              <w:rPr>
                <w:bCs/>
                <w:b/>
              </w:rPr>
              <w:t xml:space="preserve">Valul 1</w:t>
            </w:r>
          </w:p>
        </w:tc>
        <w:tc>
          <w:tcPr/>
          <w:p>
            <w:pPr>
              <w:pStyle w:val="Compact"/>
              <w:jc w:val="left"/>
            </w:pPr>
            <w:r>
              <w:t xml:space="preserve">La atingerea pragului de 10.000 utilizatori activi (T0)</w:t>
            </w:r>
          </w:p>
        </w:tc>
        <w:tc>
          <w:tcPr/>
          <w:p>
            <w:pPr>
              <w:pStyle w:val="Compact"/>
              <w:jc w:val="left"/>
            </w:pPr>
            <w:r>
              <w:t xml:space="preserve">Conversia inițială — toți utilizatorii activi până la momentul T0 primesc tokenii $RIVR direct în walletul MultiversX asociat contului.</w:t>
            </w:r>
          </w:p>
        </w:tc>
      </w:tr>
      <w:tr>
        <w:tc>
          <w:tcPr/>
          <w:p>
            <w:pPr>
              <w:pStyle w:val="Compact"/>
              <w:jc w:val="left"/>
            </w:pPr>
            <w:r>
              <w:rPr>
                <w:bCs/>
                <w:b/>
              </w:rPr>
              <w:t xml:space="preserve">Valul 2</w:t>
            </w:r>
          </w:p>
        </w:tc>
        <w:tc>
          <w:tcPr/>
          <w:p>
            <w:pPr>
              <w:pStyle w:val="Compact"/>
              <w:jc w:val="left"/>
            </w:pPr>
            <w:r>
              <w:t xml:space="preserve">T0 + 6 luni</w:t>
            </w:r>
          </w:p>
        </w:tc>
        <w:tc>
          <w:tcPr/>
          <w:p>
            <w:pPr>
              <w:pStyle w:val="Compact"/>
              <w:jc w:val="left"/>
            </w:pPr>
            <w:r>
              <w:t xml:space="preserve">Al doilea transfer, pentru utilizatorii activi în intervalul dintre Valul 1 și Valul 2.</w:t>
            </w:r>
          </w:p>
        </w:tc>
      </w:tr>
      <w:tr>
        <w:tc>
          <w:tcPr/>
          <w:p>
            <w:pPr>
              <w:pStyle w:val="Compact"/>
              <w:jc w:val="left"/>
            </w:pPr>
            <w:r>
              <w:rPr>
                <w:bCs/>
                <w:b/>
              </w:rPr>
              <w:t xml:space="preserve">Valul 3</w:t>
            </w:r>
          </w:p>
        </w:tc>
        <w:tc>
          <w:tcPr/>
          <w:p>
            <w:pPr>
              <w:pStyle w:val="Compact"/>
              <w:jc w:val="left"/>
            </w:pPr>
            <w:r>
              <w:t xml:space="preserve">T0 + 12 luni</w:t>
            </w:r>
          </w:p>
        </w:tc>
        <w:tc>
          <w:tcPr/>
          <w:p>
            <w:pPr>
              <w:pStyle w:val="Compact"/>
              <w:jc w:val="left"/>
            </w:pPr>
            <w:r>
              <w:t xml:space="preserve">Al treilea transfer, pentru utilizatorii activi în intervalul anterior.</w:t>
            </w:r>
          </w:p>
        </w:tc>
      </w:tr>
      <w:tr>
        <w:tc>
          <w:tcPr/>
          <w:p>
            <w:pPr>
              <w:pStyle w:val="Compact"/>
              <w:jc w:val="left"/>
            </w:pPr>
            <w:r>
              <w:rPr>
                <w:bCs/>
                <w:b/>
              </w:rPr>
              <w:t xml:space="preserve">Valurile următoare</w:t>
            </w:r>
          </w:p>
        </w:tc>
        <w:tc>
          <w:tcPr/>
          <w:p>
            <w:pPr>
              <w:pStyle w:val="Compact"/>
              <w:jc w:val="left"/>
            </w:pPr>
            <w:r>
              <w:t xml:space="preserve">Recurente, la fiecare 6 luni de la T0</w:t>
            </w:r>
          </w:p>
        </w:tc>
        <w:tc>
          <w:tcPr/>
          <w:p>
            <w:pPr>
              <w:pStyle w:val="Compact"/>
              <w:jc w:val="left"/>
            </w:pPr>
            <w:r>
              <w:t xml:space="preserve">Tokenii sunt livrați continuu, în tranșe semestriale, până la convertirea integrală a tuturor tokenilor din sticlele vândute.</w:t>
            </w:r>
          </w:p>
        </w:tc>
      </w:tr>
    </w:tbl>
    <w:p>
      <w:pPr>
        <w:pStyle w:val="BodyText"/>
      </w:pPr>
      <w:r>
        <w:t xml:space="preserve">Distribuția tokenilor se efectuează</w:t>
      </w:r>
      <w:r>
        <w:t xml:space="preserve"> </w:t>
      </w:r>
      <w:r>
        <w:rPr>
          <w:bCs/>
          <w:b/>
        </w:rPr>
        <w:t xml:space="preserve">direct din walletul principal al proiectului</w:t>
      </w:r>
      <w:r>
        <w:t xml:space="preserve">, pe baza datelor din aplicație: adresa de email a utilizatorului, adresa de wallet MultiversX, numărul de tokeni revendicați.</w:t>
      </w:r>
    </w:p>
    <w:p>
      <w:pPr>
        <w:pStyle w:val="BodyText"/>
      </w:pPr>
      <w:r>
        <w:rPr>
          <w:bCs/>
          <w:b/>
        </w:rPr>
        <w:t xml:space="preserve">Vesting echipă și distribuție internă</w:t>
      </w:r>
    </w:p>
    <w:p>
      <w:pPr>
        <w:pStyle w:val="BodyText"/>
      </w:pPr>
      <w:r>
        <w:t xml:space="preserve">Pentru a garanta integritatea proiectului și încrederea în tokenomics,</w:t>
      </w:r>
      <w:r>
        <w:t xml:space="preserve"> </w:t>
      </w:r>
      <w:r>
        <w:rPr>
          <w:bCs/>
          <w:b/>
        </w:rPr>
        <w:t xml:space="preserve">echipa fondatoare nu are acces la tokeni în primele 18 luni</w:t>
      </w:r>
      <w:r>
        <w:t xml:space="preserve"> </w:t>
      </w:r>
      <w:r>
        <w:t xml:space="preserve">de la activare. Acest vesting strict este înscris în smart contract și face parte din angajamentul public al fondatorilor față de comunitate.</w:t>
      </w:r>
    </w:p>
    <w:p>
      <w:pPr>
        <w:pStyle w:val="BodyText"/>
      </w:pPr>
      <w:r>
        <w:t xml:space="preserve">Tokenii alocați pentru parteneriate, staking și marketing vor fi distribuiți gradual, pe bază de KPI și strategii transparente. Orice transfer va fi raportat în mod public, iar balanțele vor putea fi verificate on-chain în timp real.</w:t>
      </w:r>
    </w:p>
    <w:p>
      <w:pPr>
        <w:pStyle w:val="BodyText"/>
      </w:pPr>
      <w:r>
        <w:rPr>
          <w:bCs/>
          <w:b/>
        </w:rPr>
        <w:t xml:space="preserve">Obiectivul: stabilitate, transparență, încredere</w:t>
      </w:r>
    </w:p>
    <w:p>
      <w:pPr>
        <w:pStyle w:val="BodyText"/>
      </w:pPr>
      <w:r>
        <w:t xml:space="preserve">Tokenomics-ul River Token a fost proiectat pentru a:</w:t>
      </w:r>
    </w:p>
    <w:p>
      <w:pPr>
        <w:numPr>
          <w:ilvl w:val="0"/>
          <w:numId w:val="1003"/>
        </w:numPr>
        <w:pStyle w:val="Compact"/>
      </w:pPr>
      <w:r>
        <w:t xml:space="preserve">construi o punte între economia reală și valoarea digitală;</w:t>
      </w:r>
    </w:p>
    <w:p>
      <w:pPr>
        <w:numPr>
          <w:ilvl w:val="0"/>
          <w:numId w:val="1003"/>
        </w:numPr>
        <w:pStyle w:val="Compact"/>
      </w:pPr>
      <w:r>
        <w:t xml:space="preserve">recompensa loialitatea utilizatorilor, nu speculațiile rapide;</w:t>
      </w:r>
    </w:p>
    <w:p>
      <w:pPr>
        <w:numPr>
          <w:ilvl w:val="0"/>
          <w:numId w:val="1003"/>
        </w:numPr>
        <w:pStyle w:val="Compact"/>
      </w:pPr>
      <w:r>
        <w:t xml:space="preserve">oferi un mecanism predictibil de creștere, susținut de lichiditate activă și profit reinvestit în token.</w:t>
      </w:r>
    </w:p>
    <w:p>
      <w:pPr>
        <w:pStyle w:val="FirstParagraph"/>
      </w:pPr>
      <w:r>
        <w:t xml:space="preserve">Astfel, $RIVR devine mai mult decât un simbol digital: este o expresie directă a performanței unui produs real, care își câștigă valoarea în fiecare zi, sticlă cu sticlă.</w:t>
      </w:r>
    </w:p>
    <w:bookmarkEnd w:id="26"/>
    <w:bookmarkStart w:id="27" w:name="capitolul-5-tehnologie-și-infrastructură"/>
    <w:p>
      <w:pPr>
        <w:pStyle w:val="Heading1"/>
      </w:pPr>
      <w:r>
        <w:t xml:space="preserve">Capitolul 5 — Tehnologie și infrastructură</w:t>
      </w:r>
    </w:p>
    <w:p>
      <w:pPr>
        <w:pStyle w:val="FirstParagraph"/>
      </w:pPr>
      <w:r>
        <w:rPr>
          <w:bCs/>
          <w:b/>
        </w:rPr>
        <w:t xml:space="preserve">5.1. Aplicația mobilă — interfața principală a ecosistemului</w:t>
      </w:r>
    </w:p>
    <w:p>
      <w:pPr>
        <w:pStyle w:val="BodyText"/>
      </w:pPr>
      <w:r>
        <w:t xml:space="preserve">Aplicația River Token reprezintă</w:t>
      </w:r>
      <w:r>
        <w:t xml:space="preserve"> </w:t>
      </w:r>
      <w:r>
        <w:rPr>
          <w:bCs/>
          <w:b/>
        </w:rPr>
        <w:t xml:space="preserve">interfața digitală centrală</w:t>
      </w:r>
      <w:r>
        <w:t xml:space="preserve"> </w:t>
      </w:r>
      <w:r>
        <w:t xml:space="preserve">între utilizator și ecosistemul tokenului. Aplicația este</w:t>
      </w:r>
      <w:r>
        <w:t xml:space="preserve"> </w:t>
      </w:r>
      <w:r>
        <w:rPr>
          <w:bCs/>
          <w:b/>
        </w:rPr>
        <w:t xml:space="preserve">deja disponibilă și funcțională</w:t>
      </w:r>
      <w:r>
        <w:t xml:space="preserve">, pe Android (Google Play), iOS (App Store) și Huawei AppGallery, și permite:</w:t>
      </w:r>
    </w:p>
    <w:p>
      <w:pPr>
        <w:numPr>
          <w:ilvl w:val="0"/>
          <w:numId w:val="1004"/>
        </w:numPr>
        <w:pStyle w:val="Compact"/>
      </w:pPr>
      <w:r>
        <w:t xml:space="preserve">crearea contului;</w:t>
      </w:r>
    </w:p>
    <w:p>
      <w:pPr>
        <w:numPr>
          <w:ilvl w:val="0"/>
          <w:numId w:val="1004"/>
        </w:numPr>
        <w:pStyle w:val="Compact"/>
      </w:pPr>
      <w:r>
        <w:t xml:space="preserve">introducerea codurilor unice de sub capac (11 caractere);</w:t>
      </w:r>
    </w:p>
    <w:p>
      <w:pPr>
        <w:numPr>
          <w:ilvl w:val="0"/>
          <w:numId w:val="1004"/>
        </w:numPr>
        <w:pStyle w:val="Compact"/>
      </w:pPr>
      <w:r>
        <w:t xml:space="preserve">acumularea punctelor virtuale echivalente cu 1 token/unitate;</w:t>
      </w:r>
    </w:p>
    <w:p>
      <w:pPr>
        <w:numPr>
          <w:ilvl w:val="0"/>
          <w:numId w:val="1004"/>
        </w:numPr>
        <w:pStyle w:val="Compact"/>
      </w:pPr>
      <w:r>
        <w:t xml:space="preserve">urmărirea progresului individual în timp.</w:t>
      </w:r>
    </w:p>
    <w:p>
      <w:pPr>
        <w:pStyle w:val="FirstParagraph"/>
      </w:pPr>
      <w:r>
        <w:t xml:space="preserve">Fiecare cod este</w:t>
      </w:r>
      <w:r>
        <w:t xml:space="preserve"> </w:t>
      </w:r>
      <w:r>
        <w:rPr>
          <w:bCs/>
          <w:b/>
        </w:rPr>
        <w:t xml:space="preserve">unic, nereutilizabil</w:t>
      </w:r>
      <w:r>
        <w:t xml:space="preserve">, generat dintr-o bază criptată și validat în timp real prin conectarea cu un registru intern. Utilizatorii au acces la: istoricul codurilor introduse (valide, respinse, duplicate), evoluția lunară a punctelor/tokenilor, statistici privind consumul personal de apă, module de informare precum „How It Works”, „Project Overview”, „Blockchain &amp; Token”, „FAQ” și „Privacy Policy”.</w:t>
      </w:r>
    </w:p>
    <w:p>
      <w:pPr>
        <w:pStyle w:val="BodyText"/>
      </w:pPr>
      <w:r>
        <w:t xml:space="preserve">Contul personal permite editarea datelor și solicitarea ștergerii contului, în deplin respect al normelor GDPR.</w:t>
      </w:r>
    </w:p>
    <w:p>
      <w:pPr>
        <w:pStyle w:val="BodyText"/>
      </w:pPr>
      <w:r>
        <w:rPr>
          <w:bCs/>
          <w:b/>
        </w:rPr>
        <w:t xml:space="preserve">5.2. Securitate și prevenirea abuzurilor</w:t>
      </w:r>
    </w:p>
    <w:p>
      <w:pPr>
        <w:pStyle w:val="BodyText"/>
      </w:pPr>
      <w:r>
        <w:t xml:space="preserve">Pentru a proteja integritatea sistemului, aplicația implementează: măsuri anti-scripting și anti-scalping, rate-limitare automată pentru tentative repetate de coduri invalide, respingerea codurilor duplicate cu statusuri explicite („invalid” / „folosit deja”), criptarea datelor utilizatorului (email, IP, device ID) în baze conforme cu GDPR.</w:t>
      </w:r>
    </w:p>
    <w:p>
      <w:pPr>
        <w:pStyle w:val="BodyText"/>
      </w:pPr>
      <w:r>
        <w:rPr>
          <w:bCs/>
          <w:b/>
        </w:rPr>
        <w:t xml:space="preserve">5.3. Blockchain-ul ales: MultiversX</w:t>
      </w:r>
    </w:p>
    <w:p>
      <w:pPr>
        <w:pStyle w:val="BodyText"/>
      </w:pPr>
      <w:r>
        <w:t xml:space="preserve">Tokenul $RIVR este implementat nativ pe blockchain-ul</w:t>
      </w:r>
      <w:r>
        <w:t xml:space="preserve"> </w:t>
      </w:r>
      <w:r>
        <w:rPr>
          <w:bCs/>
          <w:b/>
        </w:rPr>
        <w:t xml:space="preserve">MultiversX</w:t>
      </w:r>
      <w:r>
        <w:t xml:space="preserve">, o rețea optimizată pentru microtranzacții rapide, comisioane reduse, scalabilitate ridicată și compatibilitate cu portofele precum xPortal. Tokenul respectă standardul ESDT (Elrond Standard Digital Token) și este emis</w:t>
      </w:r>
      <w:r>
        <w:t xml:space="preserve"> </w:t>
      </w:r>
      <w:r>
        <w:rPr>
          <w:bCs/>
          <w:b/>
        </w:rPr>
        <w:t xml:space="preserve">în întregime</w:t>
      </w:r>
      <w:r>
        <w:t xml:space="preserve"> </w:t>
      </w:r>
      <w:r>
        <w:t xml:space="preserve">într-un wallet principal al proiectului, înainte de activare.</w:t>
      </w:r>
    </w:p>
    <w:p>
      <w:pPr>
        <w:pStyle w:val="BodyText"/>
      </w:pPr>
      <w:r>
        <w:rPr>
          <w:bCs/>
          <w:b/>
        </w:rPr>
        <w:t xml:space="preserve">5.4. Tokeni virtuali în faza inițială (off-chain)</w:t>
      </w:r>
    </w:p>
    <w:p>
      <w:pPr>
        <w:pStyle w:val="BodyText"/>
      </w:pPr>
      <w:r>
        <w:t xml:space="preserve">Până la atingerea pragului de adopție descris în Capitolul 4, aplicația funcționează în regim off-chain. Codurile introduse de utilizatori generează puncte echivalente cu 1 token/sticlă, înregistrate</w:t>
      </w:r>
      <w:r>
        <w:t xml:space="preserve"> </w:t>
      </w:r>
      <w:r>
        <w:rPr>
          <w:bCs/>
          <w:b/>
        </w:rPr>
        <w:t xml:space="preserve">virtual</w:t>
      </w:r>
      <w:r>
        <w:t xml:space="preserve">, fără interacțiune cu blockchain-ul. Acest sistem asigură scalabilitate și evită costuri inutile înainte de activarea oficială a monedei.</w:t>
      </w:r>
    </w:p>
    <w:p>
      <w:pPr>
        <w:pStyle w:val="BodyText"/>
      </w:pPr>
      <w:r>
        <w:rPr>
          <w:bCs/>
          <w:b/>
        </w:rPr>
        <w:t xml:space="preserve">5.5. Activare &amp; smart contract</w:t>
      </w:r>
    </w:p>
    <w:p>
      <w:pPr>
        <w:pStyle w:val="BodyText"/>
      </w:pPr>
      <w:r>
        <w:t xml:space="preserve">La atingerea pragului de adopție, tokenul $RIVR devine</w:t>
      </w:r>
      <w:r>
        <w:t xml:space="preserve"> </w:t>
      </w:r>
      <w:r>
        <w:rPr>
          <w:bCs/>
          <w:b/>
        </w:rPr>
        <w:t xml:space="preserve">activ și tranzacționabil</w:t>
      </w:r>
      <w:r>
        <w:t xml:space="preserve"> </w:t>
      </w:r>
      <w:r>
        <w:t xml:space="preserve">pe exchange-uri compatibile. Din acel moment: aplicația activează un modul de wallet, în care utilizatorul introduce adresa MultiversX proprie; sistemul corelează contul de utilizator cu adresa walletului și cantitatea de tokeni virtuali acumulați; un</w:t>
      </w:r>
      <w:r>
        <w:t xml:space="preserve"> </w:t>
      </w:r>
      <w:r>
        <w:rPr>
          <w:bCs/>
          <w:b/>
        </w:rPr>
        <w:t xml:space="preserve">smart contract verificabil on-chain</w:t>
      </w:r>
      <w:r>
        <w:t xml:space="preserve"> </w:t>
      </w:r>
      <w:r>
        <w:t xml:space="preserve">inițiază distribuția programată către utilizatori.</w:t>
      </w:r>
    </w:p>
    <w:p>
      <w:pPr>
        <w:pStyle w:val="BodyText"/>
      </w:pPr>
      <w:r>
        <w:rPr>
          <w:bCs/>
          <w:b/>
        </w:rPr>
        <w:t xml:space="preserve">5.6. Drepturi de conversie și migrarea on-chain</w:t>
      </w:r>
    </w:p>
    <w:p>
      <w:pPr>
        <w:pStyle w:val="BodyText"/>
      </w:pPr>
      <w:r>
        <w:t xml:space="preserve">Înainte de activarea oficială on-chain, aplicația</w:t>
      </w:r>
      <w:r>
        <w:t xml:space="preserve"> </w:t>
      </w:r>
      <w:r>
        <w:rPr>
          <w:bCs/>
          <w:b/>
        </w:rPr>
        <w:t xml:space="preserve">River Token</w:t>
      </w:r>
      <w:r>
        <w:t xml:space="preserve"> </w:t>
      </w:r>
      <w:r>
        <w:t xml:space="preserve">oferă utilizatorilor și partenerilor posibilitatea de a acumula</w:t>
      </w:r>
      <w:r>
        <w:t xml:space="preserve"> </w:t>
      </w:r>
      <w:r>
        <w:rPr>
          <w:bCs/>
          <w:b/>
        </w:rPr>
        <w:t xml:space="preserve">drepturi de conversie</w:t>
      </w:r>
      <w:r>
        <w:t xml:space="preserve"> </w:t>
      </w:r>
      <w:r>
        <w:t xml:space="preserve">sub formă de</w:t>
      </w:r>
      <w:r>
        <w:t xml:space="preserve"> </w:t>
      </w:r>
      <w:r>
        <w:rPr>
          <w:bCs/>
          <w:b/>
        </w:rPr>
        <w:t xml:space="preserve">tokeni virtuali</w:t>
      </w:r>
      <w:r>
        <w:t xml:space="preserve">. Acești tokeni nu sunt transferabili, nu pot fi vânduți și</w:t>
      </w:r>
      <w:r>
        <w:t xml:space="preserve"> </w:t>
      </w:r>
      <w:r>
        <w:rPr>
          <w:bCs/>
          <w:b/>
        </w:rPr>
        <w:t xml:space="preserve">nu reprezintă active crypto</w:t>
      </w:r>
      <w:r>
        <w:t xml:space="preserve"> </w:t>
      </w:r>
      <w:r>
        <w:t xml:space="preserve">în sensul</w:t>
      </w:r>
      <w:r>
        <w:t xml:space="preserve"> </w:t>
      </w:r>
      <w:r>
        <w:rPr>
          <w:bCs/>
          <w:b/>
        </w:rPr>
        <w:t xml:space="preserve">Regulamentului (UE) 2023/1114 (MiCA)</w:t>
      </w:r>
      <w:r>
        <w:t xml:space="preserve">.</w:t>
      </w:r>
    </w:p>
    <w:p>
      <w:pPr>
        <w:pStyle w:val="BodyText"/>
      </w:pPr>
      <w:r>
        <w:t xml:space="preserve">La atingerea pragului de adopție, toate drepturile de conversie vor fi transformate automat în tokeni on-chain. Transferul se va realiza din</w:t>
      </w:r>
      <w:r>
        <w:t xml:space="preserve"> </w:t>
      </w:r>
      <w:r>
        <w:rPr>
          <w:bCs/>
          <w:b/>
        </w:rPr>
        <w:t xml:space="preserve">walletul principal al proiectului</w:t>
      </w:r>
      <w:r>
        <w:t xml:space="preserve">, în funcție de datele stocate în aplicație (adresă de e-mail, wallet MultiversX, număr de tokeni virtuali deținuți). Acest mecanism asigură</w:t>
      </w:r>
      <w:r>
        <w:t xml:space="preserve"> </w:t>
      </w:r>
      <w:r>
        <w:rPr>
          <w:bCs/>
          <w:b/>
        </w:rPr>
        <w:t xml:space="preserve">transparență, echitate și trasabilitate completă</w:t>
      </w:r>
      <w:r>
        <w:t xml:space="preserve"> </w:t>
      </w:r>
      <w:r>
        <w:t xml:space="preserve">pentru fiecare utilizator și partener.</w:t>
      </w:r>
    </w:p>
    <w:p>
      <w:pPr>
        <w:pStyle w:val="BodyText"/>
      </w:pPr>
      <w:r>
        <w:rPr>
          <w:bCs/>
          <w:b/>
        </w:rPr>
        <w:t xml:space="preserve">5.7. Supply fix și mecanism deflaționar</w:t>
      </w:r>
    </w:p>
    <w:p>
      <w:pPr>
        <w:pStyle w:val="BodyText"/>
      </w:pPr>
      <w:r>
        <w:t xml:space="preserve">Tokenul $RIVR are un supply</w:t>
      </w:r>
      <w:r>
        <w:t xml:space="preserve"> </w:t>
      </w:r>
      <w:r>
        <w:rPr>
          <w:bCs/>
          <w:b/>
        </w:rPr>
        <w:t xml:space="preserve">fix, de 100.000.000 unități</w:t>
      </w:r>
      <w:r>
        <w:t xml:space="preserve">, fără posibilitate de mintare suplimentară. Contractul permite însă</w:t>
      </w:r>
      <w:r>
        <w:t xml:space="preserve"> </w:t>
      </w:r>
      <w:r>
        <w:rPr>
          <w:bCs/>
          <w:b/>
        </w:rPr>
        <w:t xml:space="preserve">arderea (burn)</w:t>
      </w:r>
      <w:r>
        <w:t xml:space="preserve"> </w:t>
      </w:r>
      <w:r>
        <w:t xml:space="preserve">de tokeni nerevendicați, într-un proces controlat, declanșat în funcție de strategia economică a proiectului, decizii interne și contextul pieței. Aceste funcții sunt incluse în arhitectura smart contractului și pot fi activate transparent, on-chain, pentru a genera presiune deflaționară atunci când este oportun.</w:t>
      </w:r>
    </w:p>
    <w:bookmarkEnd w:id="27"/>
    <w:bookmarkStart w:id="28" w:name="capitolul-6-utilitatea-tokenului"/>
    <w:p>
      <w:pPr>
        <w:pStyle w:val="Heading1"/>
      </w:pPr>
      <w:r>
        <w:t xml:space="preserve">Capitolul 6: Utilitatea tokenului</w:t>
      </w:r>
    </w:p>
    <w:p>
      <w:pPr>
        <w:pStyle w:val="FirstParagraph"/>
      </w:pPr>
      <w:r>
        <w:t xml:space="preserve">Tokenul $RIVR este un activ digital utilitar emis de River Token cu scopul de a recompensa consumatorii fideli ai produsului fizic — apa îmbuteliată River Token. $RIVR nu este oferit ca un stimulent artificial sau promoțional, ci ca o reflectare directă a unui gest de consum verificabil, repetitiv și concret: cumpărarea unei sticle de apă.</w:t>
      </w:r>
    </w:p>
    <w:p>
      <w:pPr>
        <w:pStyle w:val="BodyText"/>
      </w:pPr>
      <w:r>
        <w:rPr>
          <w:bCs/>
          <w:b/>
        </w:rPr>
        <w:t xml:space="preserve">6.1 — Mecanismul de acumulare: consumul ca dovadă</w:t>
      </w:r>
    </w:p>
    <w:p>
      <w:pPr>
        <w:pStyle w:val="BodyText"/>
      </w:pPr>
      <w:r>
        <w:t xml:space="preserve">River Token funcționează pe baza unui principiu simplu și verificabil:</w:t>
      </w:r>
      <w:r>
        <w:t xml:space="preserve"> </w:t>
      </w:r>
      <w:r>
        <w:rPr>
          <w:bCs/>
          <w:b/>
        </w:rPr>
        <w:t xml:space="preserve">1 token virtual = 1 sticlă de apă consumată</w:t>
      </w:r>
      <w:r>
        <w:t xml:space="preserve"> </w:t>
      </w:r>
      <w:r>
        <w:t xml:space="preserve">(echivalentul a 0,5 litri).</w:t>
      </w:r>
    </w:p>
    <w:p>
      <w:pPr>
        <w:pStyle w:val="BodyText"/>
      </w:pPr>
      <w:r>
        <w:t xml:space="preserve">Utilizatorul introduce în aplicație codurile unice de sub capac, iar sistemul înregistrează automat cantitatea de apă consumată și echivalentul în tokeni virtuali. Aplicația funcționează</w:t>
      </w:r>
      <w:r>
        <w:t xml:space="preserve"> </w:t>
      </w:r>
      <w:r>
        <w:rPr>
          <w:bCs/>
          <w:b/>
        </w:rPr>
        <w:t xml:space="preserve">exclusiv ca platformă de evidență și revendicare</w:t>
      </w:r>
      <w:r>
        <w:t xml:space="preserve">: nu oferă badge-uri, reduceri, clasamente sau alte mecanisme care pot încuraja comportamente artificiale.</w:t>
      </w:r>
    </w:p>
    <w:p>
      <w:pPr>
        <w:pStyle w:val="BodyText"/>
      </w:pPr>
      <w:r>
        <w:rPr>
          <w:bCs/>
          <w:b/>
        </w:rPr>
        <w:t xml:space="preserve">Până la atingerea pragului de 10.000 de utilizatori unici activi</w:t>
      </w:r>
      <w:r>
        <w:t xml:space="preserve"> </w:t>
      </w:r>
      <w:r>
        <w:t xml:space="preserve">— moment care declanșează și listarea tokenului pe piață — compania acordă o</w:t>
      </w:r>
      <w:r>
        <w:t xml:space="preserve"> </w:t>
      </w:r>
      <w:r>
        <w:rPr>
          <w:bCs/>
          <w:b/>
        </w:rPr>
        <w:t xml:space="preserve">valoare fixă de 0,5 lei per sticlă/token</w:t>
      </w:r>
      <w:r>
        <w:t xml:space="preserve">, reprezentând contribuția directă a River Token la susținerea valorii ecosistemului. Această sumă este direcționată către lichiditate și mecanisme on-chain, asigurând stabilitatea inițială a tokenului în piață. După atingerea acestui prag și listarea tokenului, mecanismul de susținere a lichidității trece la alocarea trimestrială a 25% din profit, conform Capitolului 8.</w:t>
      </w:r>
    </w:p>
    <w:p>
      <w:pPr>
        <w:pStyle w:val="BodyText"/>
      </w:pPr>
      <w:r>
        <w:rPr>
          <w:bCs/>
          <w:b/>
        </w:rPr>
        <w:t xml:space="preserve">6.2 — Utilitate on-chain după activare</w:t>
      </w:r>
    </w:p>
    <w:p>
      <w:pPr>
        <w:pStyle w:val="BodyText"/>
      </w:pPr>
      <w:r>
        <w:t xml:space="preserve">La atingerea pragului de adopție descris în Capitolul 4, River Token va activa oficial tokenul pe rețeaua MultiversX. În acel moment: fiecare token virtual revendicat în aplicație va putea fi</w:t>
      </w:r>
      <w:r>
        <w:t xml:space="preserve"> </w:t>
      </w:r>
      <w:r>
        <w:rPr>
          <w:bCs/>
          <w:b/>
        </w:rPr>
        <w:t xml:space="preserve">transformat într-un activ digital real</w:t>
      </w:r>
      <w:r>
        <w:t xml:space="preserve">; utilizatorul își va introduce adresa walletului MultiversX în aplicație; tokenii vor fi distribuiți on-chain.</w:t>
      </w:r>
    </w:p>
    <w:p>
      <w:pPr>
        <w:pStyle w:val="BodyText"/>
      </w:pPr>
      <w:r>
        <w:t xml:space="preserve">Tokenul $RIVR va putea fi: tranzacționat liber pe piețele secundare (DEX-uri/CEX-uri); stocat în walleturi compatibile (ex: xPortal); pus la staking printr-un mecanism dedicat.</w:t>
      </w:r>
    </w:p>
    <w:p>
      <w:pPr>
        <w:pStyle w:val="BodyText"/>
      </w:pPr>
      <w:r>
        <w:rPr>
          <w:bCs/>
          <w:b/>
        </w:rPr>
        <w:t xml:space="preserve">Nu există funcții comerciale directe</w:t>
      </w:r>
      <w:r>
        <w:t xml:space="preserve"> </w:t>
      </w:r>
      <w:r>
        <w:t xml:space="preserve">în aplicație (ex: cumpărare de produse sau reduceri cu tokeni). Tokenul rămâne un activ digital independent, construit pe istoria reală de consum.</w:t>
      </w:r>
    </w:p>
    <w:p>
      <w:pPr>
        <w:pStyle w:val="BodyText"/>
      </w:pPr>
      <w:r>
        <w:rPr>
          <w:bCs/>
          <w:b/>
        </w:rPr>
        <w:t xml:space="preserve">6.3 — Mecanismul de staking</w:t>
      </w:r>
    </w:p>
    <w:p>
      <w:pPr>
        <w:pStyle w:val="BodyText"/>
      </w:pPr>
      <w:r>
        <w:t xml:space="preserve">După activarea on-chain, utilizatorii vor putea opta pentru</w:t>
      </w:r>
      <w:r>
        <w:t xml:space="preserve"> </w:t>
      </w:r>
      <w:r>
        <w:rPr>
          <w:bCs/>
          <w:b/>
        </w:rPr>
        <w:t xml:space="preserve">staking pe perioadă fixă</w:t>
      </w:r>
      <w:r>
        <w:t xml:space="preserve">, fără niveluri sau gamificare. Fondul total de staking este de</w:t>
      </w:r>
      <w:r>
        <w:t xml:space="preserve"> </w:t>
      </w:r>
      <w:r>
        <w:rPr>
          <w:bCs/>
          <w:b/>
        </w:rPr>
        <w:t xml:space="preserve">10.000.000 $RIVR</w:t>
      </w:r>
      <w:r>
        <w:t xml:space="preserve"> </w:t>
      </w:r>
      <w:r>
        <w:t xml:space="preserve">(10% din supply), iar recompensele vor fi proporționale cu durata blocării tokenilor. Parametrii exacți (rate, perioade minime, penalizări) vor fi publicați într-un document tehnic separat, odată cu activarea funcției.</w:t>
      </w:r>
    </w:p>
    <w:p>
      <w:pPr>
        <w:pStyle w:val="BodyText"/>
      </w:pPr>
      <w:r>
        <w:t xml:space="preserve">Scopurile mecanismului de staking sunt oferirea unei recompense pasive pentru utilizatorii activi și loiali, precum și crearea unui buffer de stabilitate pentru circulația tokenului în piață.</w:t>
      </w:r>
    </w:p>
    <w:p>
      <w:pPr>
        <w:pStyle w:val="BodyText"/>
      </w:pPr>
      <w:r>
        <w:rPr>
          <w:bCs/>
          <w:b/>
        </w:rPr>
        <w:t xml:space="preserve">6.4 — Perspective viitoare de utilizare</w:t>
      </w:r>
    </w:p>
    <w:p>
      <w:pPr>
        <w:pStyle w:val="BodyText"/>
      </w:pPr>
      <w:r>
        <w:t xml:space="preserve">Deși în etapa inițială $RIVR are o utilitate limitată (tranzacționare + staking), strategia pe termen mediu presupune extinderea funcționalităților, prin încheierea de</w:t>
      </w:r>
      <w:r>
        <w:t xml:space="preserve"> </w:t>
      </w:r>
      <w:r>
        <w:rPr>
          <w:bCs/>
          <w:b/>
        </w:rPr>
        <w:t xml:space="preserve">parteneriate comerciale selective</w:t>
      </w:r>
      <w:r>
        <w:t xml:space="preserve"> </w:t>
      </w:r>
      <w:r>
        <w:t xml:space="preserve">cu companii din diverse industrii, care să permită utilizarea tokenului ca mijloc de plată pentru bunuri și servicii reale. Aceste parteneriate vor fi anunțate public, individual, odată formalizate, și vor fi implementate</w:t>
      </w:r>
      <w:r>
        <w:t xml:space="preserve"> </w:t>
      </w:r>
      <w:r>
        <w:rPr>
          <w:bCs/>
          <w:b/>
        </w:rPr>
        <w:t xml:space="preserve">fără a compromite coerența economică a proiectului</w:t>
      </w:r>
      <w:r>
        <w:t xml:space="preserve"> </w:t>
      </w:r>
      <w:r>
        <w:t xml:space="preserve">și fără a stimula comportamente speculative.</w:t>
      </w:r>
    </w:p>
    <w:p>
      <w:pPr>
        <w:pStyle w:val="BodyText"/>
      </w:pPr>
      <w:r>
        <w:rPr>
          <w:bCs/>
          <w:b/>
        </w:rPr>
        <w:t xml:space="preserve">Utilitatea tokenului $RIVR este rezultatul direct al implicării utilizatorului în consumul real</w:t>
      </w:r>
      <w:r>
        <w:t xml:space="preserve">. Nu este un premiu, nu este o promisiune, ci o</w:t>
      </w:r>
      <w:r>
        <w:t xml:space="preserve"> </w:t>
      </w:r>
      <w:r>
        <w:rPr>
          <w:bCs/>
          <w:b/>
        </w:rPr>
        <w:t xml:space="preserve">recompensă proporțională cu susținerea brandului</w:t>
      </w:r>
      <w:r>
        <w:t xml:space="preserve">. În loc de mecanisme artificiale de creștere, River Token mizează pe valoarea acumulată natural prin vânzări și încredere — un model hibrid, dar scalabil, în care lumea fizică susține lumea digitală.</w:t>
      </w:r>
    </w:p>
    <w:bookmarkEnd w:id="28"/>
    <w:bookmarkStart w:id="29" w:name="capitolul-7-roadmap"/>
    <w:p>
      <w:pPr>
        <w:pStyle w:val="Heading1"/>
      </w:pPr>
      <w:r>
        <w:t xml:space="preserve">Capitolul 7 — Roadmap</w:t>
      </w:r>
    </w:p>
    <w:p>
      <w:pPr>
        <w:pStyle w:val="FirstParagraph"/>
      </w:pPr>
      <w:r>
        <w:t xml:space="preserve">Roadmap-ul River Token reflectă o strategie etapizată, axată pe validarea progresivă a conceptului și consolidarea ecosistemului digital doar după confirmarea unei baze reale de utilizatori. Proiectul este structurat pe etape condiționate de rezultate reale, nu pe un calendar rigid de date promise.</w:t>
      </w:r>
    </w:p>
    <w:p>
      <w:pPr>
        <w:pStyle w:val="BodyText"/>
      </w:pPr>
      <w:r>
        <w:rPr>
          <w:bCs/>
          <w:b/>
        </w:rPr>
        <w:t xml:space="preserve">7.1 — Etapa 1: Construcție și infrastructură de bază (finalizată)</w:t>
      </w:r>
    </w:p>
    <w:p>
      <w:pPr>
        <w:pStyle w:val="BodyText"/>
      </w:pPr>
      <w:r>
        <w:t xml:space="preserve">Această etapă a acoperit definirea infrastructurii de bază: contract cu furnizorul de apă, finalizarea aplicației mobile și a sistemului backend de validare a codurilor, finalizarea designului de ambalaj, finalizarea și testarea smart contractului pe testnet MultiversX, campania de comunicare premergătoare lansării comerciale, și lansarea oficială a aplicației mobile (iOS, Android, Huawei AppGallery) — toate finalizate înainte de lansarea comercială a produsului fizic.</w:t>
      </w:r>
    </w:p>
    <w:p>
      <w:pPr>
        <w:pStyle w:val="BodyText"/>
      </w:pPr>
      <w:r>
        <w:rPr>
          <w:bCs/>
          <w:b/>
        </w:rPr>
        <w:t xml:space="preserve">7.2 — Etapa 2: Lansare comercială și acumulare de utilizatori</w:t>
      </w:r>
    </w:p>
    <w:p>
      <w:pPr>
        <w:pStyle w:val="BodyText"/>
      </w:pPr>
      <w:r>
        <w:t xml:space="preserve">Lansarea comercială a produsului fizic are loc</w:t>
      </w:r>
      <w:r>
        <w:t xml:space="preserve"> </w:t>
      </w:r>
      <w:r>
        <w:rPr>
          <w:bCs/>
          <w:b/>
        </w:rPr>
        <w:t xml:space="preserve">în cursul lunii august 2026</w:t>
      </w:r>
      <w:r>
        <w:t xml:space="preserve">, prin magazinul online river-token.com. În această fază, accentul este pus pe distribuția produsului, creșterea bazei de utilizatori și acumularea graduală de tokeni virtuali. Tokenii nu sunt încă activi în rețea, ci sunt stocați virtual în contul utilizatorului.</w:t>
      </w:r>
    </w:p>
    <w:p>
      <w:pPr>
        <w:pStyle w:val="BodyText"/>
      </w:pPr>
      <w:r>
        <w:t xml:space="preserve">Aplicația mobilă va afișa în timp real: numărul total de sticle vândute, procentul de supply revendicat, progresul către pragul de 10.000 utilizatori activi, istoric lunar de consum per utilizator.</w:t>
      </w:r>
    </w:p>
    <w:p>
      <w:pPr>
        <w:pStyle w:val="BodyText"/>
      </w:pPr>
      <w:r>
        <w:rPr>
          <w:bCs/>
          <w:b/>
        </w:rPr>
        <w:t xml:space="preserve">7.3 — Etapa 3: Activarea tokenului $RIVR</w:t>
      </w:r>
    </w:p>
    <w:p>
      <w:pPr>
        <w:pStyle w:val="BodyText"/>
      </w:pPr>
      <w:r>
        <w:t xml:space="preserve">La atingerea pragului de</w:t>
      </w:r>
      <w:r>
        <w:t xml:space="preserve"> </w:t>
      </w:r>
      <w:r>
        <w:rPr>
          <w:bCs/>
          <w:b/>
        </w:rPr>
        <w:t xml:space="preserve">10.000 de utilizatori unici activi</w:t>
      </w:r>
      <w:r>
        <w:t xml:space="preserve"> </w:t>
      </w:r>
      <w:r>
        <w:t xml:space="preserve">(conturi cu minimum un cod valid introdus), River Token va activa migrarea tokenilor în rețeaua MultiversX. Aceasta marchează tranziția de la tokeni virtuali la tokeni reali, tranzacționabili, conform calendarului descris în Capitolul 4 (Valul 1, urmat de valuri recurente la fiecare 6 luni).</w:t>
      </w:r>
    </w:p>
    <w:p>
      <w:pPr>
        <w:pStyle w:val="BodyText"/>
      </w:pPr>
      <w:r>
        <w:t xml:space="preserve">Secvența acestei etape: activarea funcției de wallet în aplicație, începerea procesului de distribuție $RIVR on-chain, activarea funcției de staking (la maxim 60 de zile de la Valul 1), listarea inițială pe DEX, după finalizarea primului val de distribuție. Tokenul $RIVR este emis pe blockchain-ul MultiversX, sub formă de activ ESDT, folosind un smart contract dezvoltat în Rust.</w:t>
      </w:r>
    </w:p>
    <w:p>
      <w:pPr>
        <w:pStyle w:val="BodyText"/>
      </w:pPr>
      <w:r>
        <w:rPr>
          <w:bCs/>
          <w:b/>
        </w:rPr>
        <w:t xml:space="preserve">7.4 — Etapele ulterioare: expansiune și consolidare</w:t>
      </w:r>
    </w:p>
    <w:p>
      <w:pPr>
        <w:pStyle w:val="BodyText"/>
      </w:pPr>
      <w:r>
        <w:t xml:space="preserve">După activarea oficială a tokenului, obiectivul River Token este extinderea treptată a ecosistemului digital și fizic: extinderea vânzărilor în alte piețe europene (Balcani, Europa de Vest); stabilirea de parteneriate comerciale care să accepte $RIVR ca mijloc de plată; creșterea lichidității și a numărului de tokeni activi în rețea; lansarea de inițiative adiționale în funcție de tendințele de piață (staking avansat, integrări suplimentare etc.).</w:t>
      </w:r>
    </w:p>
    <w:p>
      <w:pPr>
        <w:pStyle w:val="BodyText"/>
      </w:pPr>
      <w:r>
        <w:t xml:space="preserve">Update-urile roadmap-ului vor fi comunicate periodic pe canalele oficiale, iar aplicația va rămâne principalul instrument de monitorizare a progresului.</w:t>
      </w:r>
    </w:p>
    <w:p>
      <w:pPr>
        <w:pStyle w:val="BodyText"/>
      </w:pPr>
      <w:r>
        <w:rPr>
          <w:bCs/>
          <w:b/>
        </w:rPr>
        <w:t xml:space="preserve">7.5 — Punct final: distribuirea integrală a tokenilor</w:t>
      </w:r>
    </w:p>
    <w:p>
      <w:pPr>
        <w:pStyle w:val="BodyText"/>
      </w:pPr>
      <w:r>
        <w:t xml:space="preserve">Supply-ul total al River Token este fix —</w:t>
      </w:r>
      <w:r>
        <w:t xml:space="preserve"> </w:t>
      </w:r>
      <w:r>
        <w:rPr>
          <w:bCs/>
          <w:b/>
        </w:rPr>
        <w:t xml:space="preserve">100.000.000 $RIVR</w:t>
      </w:r>
      <w:r>
        <w:t xml:space="preserve">. Dintre aceștia, 50.000.000 vor fi distribuiți consumatorilor prin coduri sub capac, cu titlu gratuit; restul sunt alocați echipei, stakingului, lichidității și marketingului. Nu vor mai fi emiși alți tokeni.</w:t>
      </w:r>
    </w:p>
    <w:p>
      <w:pPr>
        <w:pStyle w:val="BodyText"/>
      </w:pPr>
      <w:r>
        <w:t xml:space="preserve">Roadmap-ul River Token este construit pe o fundație realistă, centrată pe consumul real. Nu promite adopție artificială sau termene fixe, ci urmărește atingerea fiecărei borne prin eforturi comerciale concrete și creștere organică. Fiecare pas este calibrat în funcție de realitatea pieței, ritmul de adopție și capacitatea de livrare a proiectului.</w:t>
      </w:r>
    </w:p>
    <w:bookmarkEnd w:id="29"/>
    <w:bookmarkStart w:id="30" w:name="capitolul-8-modelul-de-business"/>
    <w:p>
      <w:pPr>
        <w:pStyle w:val="Heading1"/>
      </w:pPr>
      <w:r>
        <w:t xml:space="preserve">Capitolul 8: Modelul de Business</w:t>
      </w:r>
    </w:p>
    <w:p>
      <w:pPr>
        <w:pStyle w:val="FirstParagraph"/>
      </w:pPr>
      <w:r>
        <w:t xml:space="preserve">River Token propune un model de business inovator, care îmbină distribuția unui produs de larg consum — apa îmbuteliată — cu un mecanism de recompensare digitală, susținut de un token nativ, emis pe blockchain. Strategia vizează dezvoltarea unei mărci solide în retail și, simultan, capitalizarea tokenului printr-un mecanism de redistribuire a valorii generate.</w:t>
      </w:r>
    </w:p>
    <w:p>
      <w:pPr>
        <w:pStyle w:val="BodyText"/>
      </w:pPr>
      <w:r>
        <w:rPr>
          <w:bCs/>
          <w:b/>
        </w:rPr>
        <w:t xml:space="preserve">8.1 Producție și lanț logistic</w:t>
      </w:r>
    </w:p>
    <w:p>
      <w:pPr>
        <w:pStyle w:val="BodyText"/>
      </w:pPr>
      <w:r>
        <w:t xml:space="preserve">Costul de producție al unei sticle de 0.5 litri de apă este de</w:t>
      </w:r>
      <w:r>
        <w:t xml:space="preserve"> </w:t>
      </w:r>
      <w:r>
        <w:rPr>
          <w:bCs/>
          <w:b/>
        </w:rPr>
        <w:t xml:space="preserve">1,37 lei/sticlă (cu TVA)</w:t>
      </w:r>
      <w:r>
        <w:t xml:space="preserve">. La acest cost se adaugă</w:t>
      </w:r>
      <w:r>
        <w:t xml:space="preserve"> </w:t>
      </w:r>
      <w:r>
        <w:rPr>
          <w:bCs/>
          <w:b/>
        </w:rPr>
        <w:t xml:space="preserve">aproximativ 0,60 lei/sticlă</w:t>
      </w:r>
      <w:r>
        <w:t xml:space="preserve"> </w:t>
      </w:r>
      <w:r>
        <w:t xml:space="preserve">pentru transport, manipulare, depozitare și alte cheltuieli logistice, rezultând un cost total de</w:t>
      </w:r>
      <w:r>
        <w:t xml:space="preserve"> </w:t>
      </w:r>
      <w:r>
        <w:rPr>
          <w:bCs/>
          <w:b/>
        </w:rPr>
        <w:t xml:space="preserve">1,97 lei/sticlă</w:t>
      </w:r>
      <w:r>
        <w:t xml:space="preserve">.</w:t>
      </w:r>
    </w:p>
    <w:p>
      <w:pPr>
        <w:pStyle w:val="BodyText"/>
      </w:pPr>
      <w:r>
        <w:t xml:space="preserve">Prețul de vânzare este de</w:t>
      </w:r>
      <w:r>
        <w:t xml:space="preserve"> </w:t>
      </w:r>
      <w:r>
        <w:rPr>
          <w:bCs/>
          <w:b/>
        </w:rPr>
        <w:t xml:space="preserve">3 lei/sticlă</w:t>
      </w:r>
      <w:r>
        <w:t xml:space="preserve">, la care se adaugă</w:t>
      </w:r>
      <w:r>
        <w:t xml:space="preserve"> </w:t>
      </w:r>
      <w:r>
        <w:rPr>
          <w:bCs/>
          <w:b/>
        </w:rPr>
        <w:t xml:space="preserve">0,50 lei reprezentând SGR (Sistem de Garanție-Returnare)</w:t>
      </w:r>
      <w:r>
        <w:t xml:space="preserve"> </w:t>
      </w:r>
      <w:r>
        <w:t xml:space="preserve">— sumă colectată conform legislației naționale privind ambalajele, care este rambursată integral consumatorului la returnarea ambalajului și nu constituie venit al companiei. Prețul total afișat consumatorului este, prin urmare, de 3,5 lei/sticlă, din care 0,50 lei sunt rambursabili.</w:t>
      </w:r>
    </w:p>
    <w:p>
      <w:pPr>
        <w:pStyle w:val="BodyText"/>
      </w:pPr>
      <w:r>
        <w:t xml:space="preserve">Prețul estimat de raft, în etapa de extindere către retail tradițional, va varia în funcție de politica internă a fiecărui retailer.</w:t>
      </w:r>
    </w:p>
    <w:p>
      <w:pPr>
        <w:pStyle w:val="BodyText"/>
      </w:pPr>
      <w:r>
        <w:rPr>
          <w:bCs/>
          <w:b/>
        </w:rPr>
        <w:t xml:space="preserve">8.2 Strategie de redistribuire a valorii</w:t>
      </w:r>
    </w:p>
    <w:p>
      <w:pPr>
        <w:pStyle w:val="BodyText"/>
      </w:pPr>
      <w:r>
        <w:t xml:space="preserve">Structura de redistribuire a valorii generate de River Token este împărțită în două faze distincte, corelate direct cu performanța comercială a brandului:</w:t>
      </w:r>
    </w:p>
    <w:p>
      <w:pPr>
        <w:numPr>
          <w:ilvl w:val="0"/>
          <w:numId w:val="1005"/>
        </w:numPr>
        <w:pStyle w:val="Compact"/>
      </w:pPr>
      <w:r>
        <w:rPr>
          <w:bCs/>
          <w:b/>
        </w:rPr>
        <w:t xml:space="preserve">Faza I — Până la atingerea pragului de 10.000 de utilizatori unici activi (momentul activării și listării tokenului $RIVR pe piață):</w:t>
      </w:r>
      <w:r>
        <w:t xml:space="preserve"> </w:t>
      </w:r>
      <w:r>
        <w:t xml:space="preserve">o</w:t>
      </w:r>
      <w:r>
        <w:t xml:space="preserve"> </w:t>
      </w:r>
      <w:r>
        <w:rPr>
          <w:bCs/>
          <w:b/>
        </w:rPr>
        <w:t xml:space="preserve">sumă fixă de 0,5 lei pentru fiecare sticlă vândută</w:t>
      </w:r>
      <w:r>
        <w:t xml:space="preserve"> </w:t>
      </w:r>
      <w:r>
        <w:t xml:space="preserve">este direcționată exclusiv către capitalizarea tokenului River, indiferent de rezultatul financiar net al companiei în perioada respectivă. Aceste fonduri vor alimenta lichiditatea monedei în vederea activării pe platformele de tranzacționare. Cheltuielile operaționale și costurile de dezvoltare vor fi acoperite din veniturile comerciale generate.</w:t>
      </w:r>
    </w:p>
    <w:p>
      <w:pPr>
        <w:numPr>
          <w:ilvl w:val="0"/>
          <w:numId w:val="1005"/>
        </w:numPr>
        <w:pStyle w:val="Compact"/>
      </w:pPr>
      <w:r>
        <w:rPr>
          <w:bCs/>
          <w:b/>
        </w:rPr>
        <w:t xml:space="preserve">Faza II — După atingerea pragului de 10.000 de utilizatori unici activi și listarea tokenului:</w:t>
      </w:r>
      <w:r>
        <w:t xml:space="preserve"> </w:t>
      </w:r>
      <w:r>
        <w:t xml:space="preserve">se va introduce un mecanism sustenabil de alocare a profiturilor, prin care</w:t>
      </w:r>
      <w:r>
        <w:t xml:space="preserve"> </w:t>
      </w:r>
      <w:r>
        <w:rPr>
          <w:bCs/>
          <w:b/>
        </w:rPr>
        <w:t xml:space="preserve">25% din profitul net</w:t>
      </w:r>
      <w:r>
        <w:t xml:space="preserve"> </w:t>
      </w:r>
      <w:r>
        <w:t xml:space="preserve">va fi direcționat,</w:t>
      </w:r>
      <w:r>
        <w:t xml:space="preserve"> </w:t>
      </w:r>
      <w:r>
        <w:rPr>
          <w:bCs/>
          <w:b/>
        </w:rPr>
        <w:t xml:space="preserve">trimestrial</w:t>
      </w:r>
      <w:r>
        <w:t xml:space="preserve">, către menținerea lichidității și a stabilității tokenului. Restul de 75% va fi utilizat pentru dezvoltarea afacerii, extindere, marketing și costuri operaționale.</w:t>
      </w:r>
    </w:p>
    <w:p>
      <w:pPr>
        <w:pStyle w:val="FirstParagraph"/>
      </w:pPr>
      <w:r>
        <w:rPr>
          <w:bCs/>
          <w:b/>
        </w:rPr>
        <w:t xml:space="preserve">8.3 Adaptabilitate comercială</w:t>
      </w:r>
    </w:p>
    <w:p>
      <w:pPr>
        <w:pStyle w:val="BodyText"/>
      </w:pPr>
      <w:r>
        <w:t xml:space="preserve">Deși strategia principală de distribuție urmărește, pe termen mediu, listarea în marile lanțuri de retail, proiectul dispune și de alternative: parteneriate HoReCa prin distribuitori locali, rețele proprii de distribuție în anumite zone strategice, vânzări corporate sau ocazionale (ex: evenimente), vânzare online prin www.river-token.com.</w:t>
      </w:r>
    </w:p>
    <w:p>
      <w:pPr>
        <w:pStyle w:val="BodyText"/>
      </w:pPr>
      <w:r>
        <w:rPr>
          <w:bCs/>
          <w:b/>
        </w:rPr>
        <w:t xml:space="preserve">8.4 Control financiar și planuri de expansiune</w:t>
      </w:r>
    </w:p>
    <w:p>
      <w:pPr>
        <w:pStyle w:val="BodyText"/>
      </w:pPr>
      <w:r>
        <w:t xml:space="preserve">Investițiile inițiale au fost acoperite din fonduri proprii ale fondatorilor. Campania de prelansare are un buget inițial de</w:t>
      </w:r>
      <w:r>
        <w:t xml:space="preserve"> </w:t>
      </w:r>
      <w:r>
        <w:rPr>
          <w:bCs/>
          <w:b/>
        </w:rPr>
        <w:t xml:space="preserve">3.000 EUR/lună</w:t>
      </w:r>
      <w:r>
        <w:t xml:space="preserve">, care va fi crescut treptat, în funcție de ritmul de vânzări și de obiectivele asumate.</w:t>
      </w:r>
    </w:p>
    <w:p>
      <w:pPr>
        <w:pStyle w:val="BodyText"/>
      </w:pPr>
      <w:r>
        <w:t xml:space="preserve">Toate veniturile și cheltuielile vor fi raportate</w:t>
      </w:r>
      <w:r>
        <w:t xml:space="preserve"> </w:t>
      </w:r>
      <w:r>
        <w:rPr>
          <w:bCs/>
          <w:b/>
        </w:rPr>
        <w:t xml:space="preserve">trimestrial</w:t>
      </w:r>
      <w:r>
        <w:t xml:space="preserve">. Aceste rapoarte vor constitui baza alocării automate a valorii către lichiditate, conform proporțiilor stabilite.</w:t>
      </w:r>
    </w:p>
    <w:p>
      <w:pPr>
        <w:pStyle w:val="BodyText"/>
      </w:pPr>
      <w:r>
        <w:rPr>
          <w:bCs/>
          <w:b/>
        </w:rPr>
        <w:t xml:space="preserve">8.5 Plan de listare</w:t>
      </w:r>
    </w:p>
    <w:p>
      <w:pPr>
        <w:pStyle w:val="BodyText"/>
      </w:pPr>
      <w:r>
        <w:t xml:space="preserve">Tokenul River va fi activat inițial pe rețeaua</w:t>
      </w:r>
      <w:r>
        <w:t xml:space="preserve"> </w:t>
      </w:r>
      <w:r>
        <w:rPr>
          <w:bCs/>
          <w:b/>
        </w:rPr>
        <w:t xml:space="preserve">MultiversX</w:t>
      </w:r>
      <w:r>
        <w:t xml:space="preserve">. Odată cu maturizarea proiectului, vor fi explorate și alte platforme de tranzacționare (DEX-uri și CEX-uri). Costurile de listare vor fi suportate de companie, în funcție de condițiile pieței la momentul respectiv.</w:t>
      </w:r>
    </w:p>
    <w:p>
      <w:pPr>
        <w:pStyle w:val="BodyText"/>
      </w:pPr>
      <w:r>
        <w:rPr>
          <w:bCs/>
          <w:b/>
        </w:rPr>
        <w:t xml:space="preserve">8.6 Sistemul de tokeni virtuali și fluxul de conversie</w:t>
      </w:r>
    </w:p>
    <w:p>
      <w:pPr>
        <w:pStyle w:val="BodyText"/>
      </w:pPr>
      <w:r>
        <w:t xml:space="preserve">În faza de pre-activare, ecosistemul</w:t>
      </w:r>
      <w:r>
        <w:t xml:space="preserve"> </w:t>
      </w:r>
      <w:r>
        <w:rPr>
          <w:bCs/>
          <w:b/>
        </w:rPr>
        <w:t xml:space="preserve">River Token</w:t>
      </w:r>
      <w:r>
        <w:t xml:space="preserve"> </w:t>
      </w:r>
      <w:r>
        <w:t xml:space="preserve">utilizează un sistem intern de</w:t>
      </w:r>
      <w:r>
        <w:t xml:space="preserve"> </w:t>
      </w:r>
      <w:r>
        <w:rPr>
          <w:bCs/>
          <w:b/>
        </w:rPr>
        <w:t xml:space="preserve">tokeni virtuali</w:t>
      </w:r>
      <w:r>
        <w:t xml:space="preserve">, care funcționează ca mecanism de evidență și recompensă pentru utilizatori și parteneri. Acești tokeni virtuali pot fi obținuți prin introducerea codurilor de sub capac, care confirmă achiziția produsului fizic, sau, în cazul partenerilor strategici, prin conversia contribuțiilor financiare documentate în</w:t>
      </w:r>
      <w:r>
        <w:t xml:space="preserve"> </w:t>
      </w:r>
      <w:r>
        <w:rPr>
          <w:bCs/>
          <w:b/>
        </w:rPr>
        <w:t xml:space="preserve">drepturi de conversie</w:t>
      </w:r>
      <w:r>
        <w:t xml:space="preserve"> </w:t>
      </w:r>
      <w:r>
        <w:t xml:space="preserve">digitale.</w:t>
      </w:r>
    </w:p>
    <w:p>
      <w:pPr>
        <w:pStyle w:val="BodyText"/>
      </w:pPr>
      <w:r>
        <w:t xml:space="preserve">Tokenii virtuali nu pot fi retrași, vânduți, schimbați sau tranzacționați, și</w:t>
      </w:r>
      <w:r>
        <w:t xml:space="preserve"> </w:t>
      </w:r>
      <w:r>
        <w:rPr>
          <w:bCs/>
          <w:b/>
        </w:rPr>
        <w:t xml:space="preserve">nu constituie active crypto</w:t>
      </w:r>
      <w:r>
        <w:t xml:space="preserve"> </w:t>
      </w:r>
      <w:r>
        <w:t xml:space="preserve">conform Regulamentului (UE) 2023/1114 (MiCA). Ei reprezintă</w:t>
      </w:r>
      <w:r>
        <w:t xml:space="preserve"> </w:t>
      </w:r>
      <w:r>
        <w:rPr>
          <w:bCs/>
          <w:b/>
        </w:rPr>
        <w:t xml:space="preserve">drepturi de conversie viitoare</w:t>
      </w:r>
      <w:r>
        <w:t xml:space="preserve">, ce vor fi transformate automat în tokeni</w:t>
      </w:r>
      <w:r>
        <w:t xml:space="preserve"> </w:t>
      </w:r>
      <w:r>
        <w:rPr>
          <w:bCs/>
          <w:b/>
        </w:rPr>
        <w:t xml:space="preserve">$RIVR</w:t>
      </w:r>
      <w:r>
        <w:t xml:space="preserve"> </w:t>
      </w:r>
      <w:r>
        <w:t xml:space="preserve">reali după atingerea pragului de adopție, printr-un proces verificabil on-chain.</w:t>
      </w:r>
    </w:p>
    <w:p>
      <w:pPr>
        <w:pStyle w:val="BodyText"/>
      </w:pPr>
      <w:r>
        <w:t xml:space="preserve">Toate soldurile afișate în aplicație au scop informativ, iar transferul efectiv de tokeni se realizează</w:t>
      </w:r>
      <w:r>
        <w:t xml:space="preserve"> </w:t>
      </w:r>
      <w:r>
        <w:rPr>
          <w:bCs/>
          <w:b/>
        </w:rPr>
        <w:t xml:space="preserve">numai după activarea oficială</w:t>
      </w:r>
      <w:r>
        <w:t xml:space="preserve">, din walletul principal al proiectului către portofelele MultiversX ale utilizatorilor.</w:t>
      </w:r>
    </w:p>
    <w:bookmarkEnd w:id="30"/>
    <w:bookmarkStart w:id="31" w:name="X5e4c8cdaa04339d8c699aa825cda5683e60226f"/>
    <w:p>
      <w:pPr>
        <w:pStyle w:val="Heading1"/>
      </w:pPr>
      <w:r>
        <w:t xml:space="preserve">Capitolul 9 — Conformitate și aspecte legale</w:t>
      </w:r>
    </w:p>
    <w:p>
      <w:pPr>
        <w:pStyle w:val="FirstParagraph"/>
      </w:pPr>
      <w:r>
        <w:t xml:space="preserve">River Token este un proiect hibrid, care combină distribuția unui produs fizic — apă de izvor îmbuteliată — cu o componentă digitală scalabilă, sub forma unui token nativ pe blockchainul MultiversX. Având în vedere caracterul dual al proiectului, conformitatea legală a fost o prioritate încă din faza de construcție.</w:t>
      </w:r>
    </w:p>
    <w:p>
      <w:pPr>
        <w:pStyle w:val="BodyText"/>
      </w:pPr>
      <w:r>
        <w:rPr>
          <w:bCs/>
          <w:b/>
        </w:rPr>
        <w:t xml:space="preserve">9.1 — Entitatea juridică</w:t>
      </w:r>
    </w:p>
    <w:p>
      <w:pPr>
        <w:pStyle w:val="BodyText"/>
      </w:pPr>
      <w:r>
        <w:t xml:space="preserve">Proiectul este deținut și operat de către</w:t>
      </w:r>
      <w:r>
        <w:t xml:space="preserve"> </w:t>
      </w:r>
      <w:r>
        <w:rPr>
          <w:bCs/>
          <w:b/>
        </w:rPr>
        <w:t xml:space="preserve">S.C. River Token S.R.L.</w:t>
      </w:r>
      <w:r>
        <w:t xml:space="preserve">, companie înregistrată în România. Aceasta deține în mod legal și exclusiv marca River Token, drepturile asupra aplicației mobile și infrastructurii digitale, și drepturile asupra tokenului $RIVR și a mecanismelor aferente (coduri, smart contracte, staking). Toate activitățile comerciale și contractuale, inclusiv parteneriatele cu producătorii, distribuitorii sau entitățile blockchain, sunt derulate prin această entitate juridică.</w:t>
      </w:r>
    </w:p>
    <w:p>
      <w:pPr>
        <w:pStyle w:val="BodyText"/>
      </w:pPr>
      <w:r>
        <w:rPr>
          <w:bCs/>
          <w:b/>
        </w:rPr>
        <w:t xml:space="preserve">9.2 — Statutul tokenului $RIVR</w:t>
      </w:r>
    </w:p>
    <w:p>
      <w:pPr>
        <w:pStyle w:val="BodyText"/>
      </w:pPr>
      <w:r>
        <w:t xml:space="preserve">Tokenul</w:t>
      </w:r>
      <w:r>
        <w:t xml:space="preserve"> </w:t>
      </w:r>
      <w:r>
        <w:rPr>
          <w:bCs/>
          <w:b/>
        </w:rPr>
        <w:t xml:space="preserve">$RIVR</w:t>
      </w:r>
      <w:r>
        <w:t xml:space="preserve"> </w:t>
      </w:r>
      <w:r>
        <w:t xml:space="preserve">este emis ca</w:t>
      </w:r>
      <w:r>
        <w:t xml:space="preserve"> </w:t>
      </w:r>
      <w:r>
        <w:rPr>
          <w:bCs/>
          <w:b/>
        </w:rPr>
        <w:t xml:space="preserve">utility token</w:t>
      </w:r>
      <w:r>
        <w:t xml:space="preserve">, în conformitate cu</w:t>
      </w:r>
      <w:r>
        <w:t xml:space="preserve"> </w:t>
      </w:r>
      <w:r>
        <w:rPr>
          <w:bCs/>
          <w:b/>
        </w:rPr>
        <w:t xml:space="preserve">Regulamentul (UE) 2023/1114 (MiCA)</w:t>
      </w:r>
      <w:r>
        <w:t xml:space="preserve"> </w:t>
      </w:r>
      <w:r>
        <w:t xml:space="preserve">și orientările industriei privind activele digitale. Acesta:</w:t>
      </w:r>
    </w:p>
    <w:p>
      <w:pPr>
        <w:numPr>
          <w:ilvl w:val="0"/>
          <w:numId w:val="1006"/>
        </w:numPr>
        <w:pStyle w:val="Compact"/>
      </w:pPr>
      <w:r>
        <w:t xml:space="preserve">este oferit ca</w:t>
      </w:r>
      <w:r>
        <w:t xml:space="preserve"> </w:t>
      </w:r>
      <w:r>
        <w:rPr>
          <w:bCs/>
          <w:b/>
        </w:rPr>
        <w:t xml:space="preserve">recompensă pentru consumul real de apă</w:t>
      </w:r>
      <w:r>
        <w:t xml:space="preserve"> </w:t>
      </w:r>
      <w:r>
        <w:t xml:space="preserve">și, în anumite cazuri, ca</w:t>
      </w:r>
      <w:r>
        <w:t xml:space="preserve"> </w:t>
      </w:r>
      <w:r>
        <w:rPr>
          <w:bCs/>
          <w:b/>
        </w:rPr>
        <w:t xml:space="preserve">drept de conversie acordat partenerilor și susținătorilor proiectului</w:t>
      </w:r>
      <w:r>
        <w:t xml:space="preserve"> </w:t>
      </w:r>
      <w:r>
        <w:t xml:space="preserve">în faza de pre-activare;</w:t>
      </w:r>
    </w:p>
    <w:p>
      <w:pPr>
        <w:numPr>
          <w:ilvl w:val="0"/>
          <w:numId w:val="1006"/>
        </w:numPr>
        <w:pStyle w:val="Compact"/>
      </w:pPr>
      <w:r>
        <w:rPr>
          <w:bCs/>
          <w:b/>
        </w:rPr>
        <w:t xml:space="preserve">nu conferă drepturi de vot, dividende sau participație la profiturile companiei</w:t>
      </w:r>
      <w:r>
        <w:t xml:space="preserve">;</w:t>
      </w:r>
    </w:p>
    <w:p>
      <w:pPr>
        <w:numPr>
          <w:ilvl w:val="0"/>
          <w:numId w:val="1006"/>
        </w:numPr>
        <w:pStyle w:val="Compact"/>
      </w:pPr>
      <w:r>
        <w:rPr>
          <w:bCs/>
          <w:b/>
        </w:rPr>
        <w:t xml:space="preserve">nu garantează randamente financiare</w:t>
      </w:r>
      <w:r>
        <w:t xml:space="preserve"> </w:t>
      </w:r>
      <w:r>
        <w:t xml:space="preserve">și</w:t>
      </w:r>
      <w:r>
        <w:t xml:space="preserve"> </w:t>
      </w:r>
      <w:r>
        <w:rPr>
          <w:bCs/>
          <w:b/>
        </w:rPr>
        <w:t xml:space="preserve">nu este promovat ca instrument de investiție</w:t>
      </w:r>
      <w:r>
        <w:t xml:space="preserve">;</w:t>
      </w:r>
    </w:p>
    <w:p>
      <w:pPr>
        <w:numPr>
          <w:ilvl w:val="0"/>
          <w:numId w:val="1006"/>
        </w:numPr>
        <w:pStyle w:val="Compact"/>
      </w:pPr>
      <w:r>
        <w:t xml:space="preserve">oferă</w:t>
      </w:r>
      <w:r>
        <w:t xml:space="preserve"> </w:t>
      </w:r>
      <w:r>
        <w:rPr>
          <w:bCs/>
          <w:b/>
        </w:rPr>
        <w:t xml:space="preserve">acces la funcționalități digitale</w:t>
      </w:r>
      <w:r>
        <w:t xml:space="preserve">, precum staking și interacțiuni on-chain, reflectând istoricul de consum și contribuția utilizatorului în ecosistemul River Token.</w:t>
      </w:r>
    </w:p>
    <w:p>
      <w:pPr>
        <w:pStyle w:val="FirstParagraph"/>
      </w:pPr>
      <w:r>
        <w:t xml:space="preserve">Deși proiectul a beneficiat de contribuții financiare private în faza de dezvoltare, aceste contribuții au fost convertite în drepturi de conversie utilitară, documentate prin acorduri individuale și fără promisiuni de profit.</w:t>
      </w:r>
    </w:p>
    <w:p>
      <w:pPr>
        <w:pStyle w:val="BodyText"/>
      </w:pPr>
      <w:r>
        <w:rPr>
          <w:bCs/>
          <w:b/>
        </w:rPr>
        <w:t xml:space="preserve">9.3 — Drepturile și obligațiile deținătorilor de tokeni</w:t>
      </w:r>
    </w:p>
    <w:p>
      <w:pPr>
        <w:pStyle w:val="BodyText"/>
      </w:pPr>
      <w:r>
        <w:t xml:space="preserve">Deținătorii de tokeni $RIVR (sau, în faza de pre-activare, de puncte virtuale) au dreptul de a: vizualiza în orice moment soldul acumulat în aplicație; solicita informații despre statusul contului și al codurilor introduse; primi tokenii cuveniți conform calendarului descris în Capitolul 4, condiționat de atingerea pragurilor descrise acolo; solicita ștergerea contului și a datelor personale, conform GDPR; avea acces constant la un istoric complet al interacțiunilor din aplicație și la toate documentele legale aplicabile, în format digital.</w:t>
      </w:r>
    </w:p>
    <w:p>
      <w:pPr>
        <w:pStyle w:val="BodyText"/>
      </w:pPr>
      <w:r>
        <w:t xml:space="preserve">Deținătorii de tokeni nu au dreptul de a: pretinde o valoare minimă garantată a tokenului; solicita rambursarea sumei plătite pentru produsul fizic pe motiv de nemulțumire față de valoarea tokenului; transfera sau tranzacționa punctele virtuale înainte de activarea oficială.</w:t>
      </w:r>
    </w:p>
    <w:p>
      <w:pPr>
        <w:pStyle w:val="BodyText"/>
      </w:pPr>
      <w:r>
        <w:rPr>
          <w:bCs/>
          <w:b/>
        </w:rPr>
        <w:t xml:space="preserve">9.4 — Procedura de soluționare a reclamațiilor</w:t>
      </w:r>
    </w:p>
    <w:p>
      <w:pPr>
        <w:pStyle w:val="BodyText"/>
      </w:pPr>
      <w:r>
        <w:t xml:space="preserve">Orice utilizator care întâmpină o problemă legată de coduri, puncte, aplicație sau produsul fizic poate contacta echipa River Token prin canalele oficiale de suport afișate în aplicație și pe site-ul www.river-token.com. Reclamațiile vor fi confirmate de primire în maximum 5 zile lucrătoare și vor primi un răspuns sau o soluție în maximum 30 de zile lucrătoare, în funcție de complexitatea situației.</w:t>
      </w:r>
    </w:p>
    <w:p>
      <w:pPr>
        <w:pStyle w:val="BodyText"/>
      </w:pPr>
      <w:r>
        <w:rPr>
          <w:bCs/>
          <w:b/>
        </w:rPr>
        <w:t xml:space="preserve">9.5 — GDPR și protecția datelor</w:t>
      </w:r>
    </w:p>
    <w:p>
      <w:pPr>
        <w:pStyle w:val="BodyText"/>
      </w:pPr>
      <w:r>
        <w:t xml:space="preserve">Aplicația River Token colectează și stochează date minime necesare pentru funcționare (email, IP, identificatori de dispozitiv). Datele sunt stocate în mediu securizat, prin infrastructura</w:t>
      </w:r>
      <w:r>
        <w:t xml:space="preserve"> </w:t>
      </w:r>
      <w:r>
        <w:rPr>
          <w:bCs/>
          <w:b/>
        </w:rPr>
        <w:t xml:space="preserve">Firebase (Google)</w:t>
      </w:r>
      <w:r>
        <w:t xml:space="preserve">, care respectă integral cerințele</w:t>
      </w:r>
      <w:r>
        <w:t xml:space="preserve"> </w:t>
      </w:r>
      <w:r>
        <w:rPr>
          <w:bCs/>
          <w:b/>
        </w:rPr>
        <w:t xml:space="preserve">GDPR</w:t>
      </w:r>
      <w:r>
        <w:t xml:space="preserve">.</w:t>
      </w:r>
    </w:p>
    <w:p>
      <w:pPr>
        <w:pStyle w:val="BodyText"/>
      </w:pPr>
      <w:r>
        <w:rPr>
          <w:bCs/>
          <w:b/>
        </w:rPr>
        <w:t xml:space="preserve">Responsabilul desemnat pentru protecția datelor (DPO) este Jozsef Toth</w:t>
      </w:r>
      <w:r>
        <w:t xml:space="preserve">, care supervizează toate operațiunile de colectare, stocare și procesare a datelor personale.</w:t>
      </w:r>
    </w:p>
    <w:p>
      <w:pPr>
        <w:pStyle w:val="BodyText"/>
      </w:pPr>
      <w:r>
        <w:t xml:space="preserve">O</w:t>
      </w:r>
      <w:r>
        <w:t xml:space="preserve"> </w:t>
      </w:r>
      <w:r>
        <w:rPr>
          <w:bCs/>
          <w:b/>
        </w:rPr>
        <w:t xml:space="preserve">politică de confidențialitate</w:t>
      </w:r>
      <w:r>
        <w:t xml:space="preserve"> </w:t>
      </w:r>
      <w:r>
        <w:t xml:space="preserve">și un set complet de</w:t>
      </w:r>
      <w:r>
        <w:t xml:space="preserve"> </w:t>
      </w:r>
      <w:r>
        <w:rPr>
          <w:bCs/>
          <w:b/>
        </w:rPr>
        <w:t xml:space="preserve">Termeni &amp; Condiții</w:t>
      </w:r>
      <w:r>
        <w:t xml:space="preserve"> </w:t>
      </w:r>
      <w:r>
        <w:t xml:space="preserve">vor fi publicate pe website-ul oficial www.river-token.com înainte de lansarea publică a aplicației.</w:t>
      </w:r>
    </w:p>
    <w:p>
      <w:pPr>
        <w:pStyle w:val="BodyText"/>
      </w:pPr>
      <w:r>
        <w:rPr>
          <w:bCs/>
          <w:b/>
        </w:rPr>
        <w:t xml:space="preserve">9.6 — Răspunderea contractuală și comunicarea cu utilizatorii</w:t>
      </w:r>
    </w:p>
    <w:p>
      <w:pPr>
        <w:pStyle w:val="BodyText"/>
      </w:pPr>
      <w:r>
        <w:t xml:space="preserve">Prin utilizarea aplicației, fiecare utilizator își asumă faptul că: tokenii virtuali acumulați</w:t>
      </w:r>
      <w:r>
        <w:t xml:space="preserve"> </w:t>
      </w:r>
      <w:r>
        <w:rPr>
          <w:bCs/>
          <w:b/>
        </w:rPr>
        <w:t xml:space="preserve">nu reprezintă o garanție financiară</w:t>
      </w:r>
      <w:r>
        <w:t xml:space="preserve">; valoarea de piață a tokenului</w:t>
      </w:r>
      <w:r>
        <w:t xml:space="preserve"> </w:t>
      </w:r>
      <w:r>
        <w:rPr>
          <w:bCs/>
          <w:b/>
        </w:rPr>
        <w:t xml:space="preserve">$RIVR</w:t>
      </w:r>
      <w:r>
        <w:t xml:space="preserve"> </w:t>
      </w:r>
      <w:r>
        <w:t xml:space="preserve">va fi determinată exclusiv de</w:t>
      </w:r>
      <w:r>
        <w:t xml:space="preserve"> </w:t>
      </w:r>
      <w:r>
        <w:rPr>
          <w:bCs/>
          <w:b/>
        </w:rPr>
        <w:t xml:space="preserve">mecanismele pieței (cerere și ofertă)</w:t>
      </w:r>
      <w:r>
        <w:t xml:space="preserve">; compania</w:t>
      </w:r>
      <w:r>
        <w:t xml:space="preserve"> </w:t>
      </w:r>
      <w:r>
        <w:rPr>
          <w:bCs/>
          <w:b/>
        </w:rPr>
        <w:t xml:space="preserve">nu garantează un preț minim, randamente sau lichiditate</w:t>
      </w:r>
      <w:r>
        <w:t xml:space="preserve">; River Token își rezervă dreptul de a</w:t>
      </w:r>
      <w:r>
        <w:t xml:space="preserve"> </w:t>
      </w:r>
      <w:r>
        <w:rPr>
          <w:bCs/>
          <w:b/>
        </w:rPr>
        <w:t xml:space="preserve">modifica mecanismele digitale</w:t>
      </w:r>
      <w:r>
        <w:t xml:space="preserve"> </w:t>
      </w:r>
      <w:r>
        <w:t xml:space="preserve">(staking, distribuție, UI/UX etc.) în funcție de reglementări, tendințe tehnologice sau dinamica pieței.</w:t>
      </w:r>
    </w:p>
    <w:p>
      <w:pPr>
        <w:pStyle w:val="BodyText"/>
      </w:pPr>
      <w:r>
        <w:rPr>
          <w:bCs/>
          <w:b/>
        </w:rPr>
        <w:t xml:space="preserve">9.7 — Siguranța produsului fizic</w:t>
      </w:r>
    </w:p>
    <w:p>
      <w:pPr>
        <w:pStyle w:val="BodyText"/>
      </w:pPr>
      <w:r>
        <w:t xml:space="preserve">Apa îmbuteliată sub marca River Token este extrasă dintr-un</w:t>
      </w:r>
      <w:r>
        <w:t xml:space="preserve"> </w:t>
      </w:r>
      <w:r>
        <w:rPr>
          <w:bCs/>
          <w:b/>
        </w:rPr>
        <w:t xml:space="preserve">izvor autorizat</w:t>
      </w:r>
      <w:r>
        <w:t xml:space="preserve"> </w:t>
      </w:r>
      <w:r>
        <w:t xml:space="preserve">și procesată într-o</w:t>
      </w:r>
      <w:r>
        <w:t xml:space="preserve"> </w:t>
      </w:r>
      <w:r>
        <w:rPr>
          <w:bCs/>
          <w:b/>
        </w:rPr>
        <w:t xml:space="preserve">unitate certificată</w:t>
      </w:r>
      <w:r>
        <w:t xml:space="preserve">, conform legislației UE privind</w:t>
      </w:r>
      <w:r>
        <w:t xml:space="preserve"> </w:t>
      </w:r>
      <w:r>
        <w:rPr>
          <w:bCs/>
          <w:b/>
        </w:rPr>
        <w:t xml:space="preserve">siguranța alimentară</w:t>
      </w:r>
      <w:r>
        <w:t xml:space="preserve">. Toate cerințele privind compoziția, etichetarea și trasabilitatea produsului sunt respectate în totalitate.</w:t>
      </w:r>
    </w:p>
    <w:p>
      <w:pPr>
        <w:pStyle w:val="BodyText"/>
      </w:pPr>
      <w:r>
        <w:t xml:space="preserve">River Token este construit pe o</w:t>
      </w:r>
      <w:r>
        <w:t xml:space="preserve"> </w:t>
      </w:r>
      <w:r>
        <w:rPr>
          <w:bCs/>
          <w:b/>
        </w:rPr>
        <w:t xml:space="preserve">arhitectură legală clară și transparentă</w:t>
      </w:r>
      <w:r>
        <w:t xml:space="preserve">, care separă componenta comercială de cea digitală, fără a crea confuzii sau a induce în eroare utilizatorii. Tokenul</w:t>
      </w:r>
      <w:r>
        <w:t xml:space="preserve"> </w:t>
      </w:r>
      <w:r>
        <w:rPr>
          <w:bCs/>
          <w:b/>
        </w:rPr>
        <w:t xml:space="preserve">$RIVR</w:t>
      </w:r>
      <w:r>
        <w:t xml:space="preserve"> </w:t>
      </w:r>
      <w:r>
        <w:t xml:space="preserve">este, prin construcție, un</w:t>
      </w:r>
      <w:r>
        <w:t xml:space="preserve"> </w:t>
      </w:r>
      <w:r>
        <w:rPr>
          <w:bCs/>
          <w:b/>
        </w:rPr>
        <w:t xml:space="preserve">instrument de loialitate și recompensare</w:t>
      </w:r>
      <w:r>
        <w:t xml:space="preserve"> </w:t>
      </w:r>
      <w:r>
        <w:t xml:space="preserve">legat strict de consumul real, și</w:t>
      </w:r>
      <w:r>
        <w:t xml:space="preserve"> </w:t>
      </w:r>
      <w:r>
        <w:rPr>
          <w:bCs/>
          <w:b/>
        </w:rPr>
        <w:t xml:space="preserve">nu</w:t>
      </w:r>
      <w:r>
        <w:t xml:space="preserve"> </w:t>
      </w:r>
      <w:r>
        <w:t xml:space="preserve">un instrument financiar sau speculativ.</w:t>
      </w:r>
    </w:p>
    <w:p>
      <w:pPr>
        <w:pStyle w:val="BodyText"/>
      </w:pPr>
      <w:r>
        <w:rPr>
          <w:bCs/>
          <w:b/>
        </w:rPr>
        <w:t xml:space="preserve">Conformitatea legală</w:t>
      </w:r>
      <w:r>
        <w:t xml:space="preserve"> </w:t>
      </w:r>
      <w:r>
        <w:t xml:space="preserve">va rămâne o direcție prioritară în toate etapele de dezvoltare, fiind adaptată permanent în funcție de reglementările actualizate din domeniul blockchain, retail și industria alimentară.</w:t>
      </w:r>
    </w:p>
    <w:bookmarkEnd w:id="31"/>
    <w:bookmarkStart w:id="32" w:name="capitolul-10-echipa-și-partenerii"/>
    <w:p>
      <w:pPr>
        <w:pStyle w:val="Heading1"/>
      </w:pPr>
      <w:r>
        <w:t xml:space="preserve">Capitolul 10 — Echipa și partenerii</w:t>
      </w:r>
    </w:p>
    <w:p>
      <w:pPr>
        <w:pStyle w:val="FirstParagraph"/>
      </w:pPr>
      <w:r>
        <w:t xml:space="preserve">River Token este construit de o echipă multidisciplinară, cu experiență în antreprenoriat, dezvoltare digitală, distribuție și management operațional. Încă din etapa de concept, proiectul a fost gândit și executat de fondatori activi, care contribuie direct la dezvoltarea fiecărei componente — de la produsul fizic până la infrastructura blockchain.</w:t>
      </w:r>
    </w:p>
    <w:p>
      <w:pPr>
        <w:pStyle w:val="BodyText"/>
      </w:pPr>
      <w:r>
        <w:rPr>
          <w:bCs/>
          <w:b/>
        </w:rPr>
        <w:t xml:space="preserve">10.1 — Fondatorii proiectului</w:t>
      </w:r>
    </w:p>
    <w:p>
      <w:pPr>
        <w:pStyle w:val="BodyText"/>
      </w:pPr>
      <w:r>
        <w:t xml:space="preserve">Proiectul River Token este fondat de trei antreprenori care dețin părți egale din compania S.C. River Token S.R.L.:</w:t>
      </w:r>
    </w:p>
    <w:p>
      <w:pPr>
        <w:numPr>
          <w:ilvl w:val="0"/>
          <w:numId w:val="1007"/>
        </w:numPr>
        <w:pStyle w:val="Compact"/>
      </w:pPr>
      <w:r>
        <w:rPr>
          <w:bCs/>
          <w:b/>
        </w:rPr>
        <w:t xml:space="preserve">Sepsi László</w:t>
      </w:r>
      <w:r>
        <w:t xml:space="preserve"> </w:t>
      </w:r>
      <w:r>
        <w:t xml:space="preserve">— antreprenor și investitor activ, cu experiență în dezvoltări rezidențiale și retail;</w:t>
      </w:r>
    </w:p>
    <w:p>
      <w:pPr>
        <w:numPr>
          <w:ilvl w:val="0"/>
          <w:numId w:val="1007"/>
        </w:numPr>
        <w:pStyle w:val="Compact"/>
      </w:pPr>
      <w:r>
        <w:rPr>
          <w:bCs/>
          <w:b/>
        </w:rPr>
        <w:t xml:space="preserve">Tóth Edmond Norbert</w:t>
      </w:r>
      <w:r>
        <w:t xml:space="preserve"> </w:t>
      </w:r>
      <w:r>
        <w:t xml:space="preserve">— cu experiență în coordonarea echipelor operaționale și dezvoltarea de procese scalabile;</w:t>
      </w:r>
    </w:p>
    <w:p>
      <w:pPr>
        <w:numPr>
          <w:ilvl w:val="0"/>
          <w:numId w:val="1007"/>
        </w:numPr>
        <w:pStyle w:val="Compact"/>
      </w:pPr>
      <w:r>
        <w:rPr>
          <w:bCs/>
          <w:b/>
        </w:rPr>
        <w:t xml:space="preserve">Tóth József</w:t>
      </w:r>
      <w:r>
        <w:t xml:space="preserve"> </w:t>
      </w:r>
      <w:r>
        <w:t xml:space="preserve">— specializat în optimizarea fluxurilor comerciale și strategii de dezvoltare pe termen lung.</w:t>
      </w:r>
    </w:p>
    <w:p>
      <w:pPr>
        <w:pStyle w:val="FirstParagraph"/>
      </w:pPr>
      <w:r>
        <w:t xml:space="preserve">Cei trei fondatori sunt și investitorii principali ai proiectului, suportând integral costurile inițiale de lansare.</w:t>
      </w:r>
    </w:p>
    <w:p>
      <w:pPr>
        <w:pStyle w:val="BodyText"/>
      </w:pPr>
      <w:r>
        <w:rPr>
          <w:bCs/>
          <w:b/>
        </w:rPr>
        <w:t xml:space="preserve">10.2 — Echipa extinsă și parteneri tehnici</w:t>
      </w:r>
    </w:p>
    <w:p>
      <w:pPr>
        <w:pStyle w:val="BodyText"/>
      </w:pPr>
      <w:r>
        <w:t xml:space="preserve">Proiectul beneficiază de susținerea</w:t>
      </w:r>
      <w:r>
        <w:t xml:space="preserve"> </w:t>
      </w:r>
      <w:r>
        <w:rPr>
          <w:bCs/>
          <w:b/>
        </w:rPr>
        <w:t xml:space="preserve">Online Growth Solutions S.R.L.</w:t>
      </w:r>
      <w:r>
        <w:t xml:space="preserve">, o companie specializată în dezvoltare software și marketing digital, responsabilă pentru dezvoltarea aplicației mobile (iOS &amp; Android), implementarea smart contractului pe MultiversX, și strategia de marketing, branding și comunicare digitală. Online Growth Solutions este partener tehnic strategic, implicat în etapele lansării aplicației și a tokenului $RIVR.</w:t>
      </w:r>
    </w:p>
    <w:p>
      <w:pPr>
        <w:pStyle w:val="BodyText"/>
      </w:pPr>
      <w:r>
        <w:rPr>
          <w:bCs/>
          <w:b/>
        </w:rPr>
        <w:t xml:space="preserve">10.3 — Colaboratori și parteneriate</w:t>
      </w:r>
    </w:p>
    <w:p>
      <w:pPr>
        <w:pStyle w:val="BodyText"/>
      </w:pPr>
      <w:r>
        <w:t xml:space="preserve">Pentru partea de producție a apei îmbuteliate, River Token a încheiat un contract cu un producător din România, care respectă toate standardele europene de calitate și siguranță. Din motive comerciale, numele acestuia nu este publicat în whitepaper, dat fiind că se adresează acelorași segmente de consumatori și reprezintă un brand activ pe piața de apă îmbuteliată.</w:t>
      </w:r>
    </w:p>
    <w:p>
      <w:pPr>
        <w:pStyle w:val="BodyText"/>
      </w:pPr>
      <w:r>
        <w:rPr>
          <w:bCs/>
          <w:b/>
        </w:rPr>
        <w:t xml:space="preserve">10.4 — Investiții și capitalizare</w:t>
      </w:r>
    </w:p>
    <w:p>
      <w:pPr>
        <w:pStyle w:val="BodyText"/>
      </w:pPr>
      <w:r>
        <w:rPr>
          <w:bCs/>
          <w:b/>
        </w:rPr>
        <w:t xml:space="preserve">River Token</w:t>
      </w:r>
      <w:r>
        <w:t xml:space="preserve"> </w:t>
      </w:r>
      <w:r>
        <w:t xml:space="preserve">este un proiect dezvoltat prin finanțare proprie și contribuții private, fără atragerea de investiții externe dilutive sau oferte publice de active digitale. Finanțarea inițială a fost asigurată prin aporturile proprii ale acționarilor și ale echipei fondatoare, utilizate pentru dezvoltarea produsului fizic, a infrastructurii IT și a aplicației mobile.</w:t>
      </w:r>
    </w:p>
    <w:p>
      <w:pPr>
        <w:pStyle w:val="BodyText"/>
      </w:pPr>
      <w:r>
        <w:t xml:space="preserve">Ulterior, proiectul a beneficiat de</w:t>
      </w:r>
      <w:r>
        <w:t xml:space="preserve"> </w:t>
      </w:r>
      <w:r>
        <w:rPr>
          <w:bCs/>
          <w:b/>
        </w:rPr>
        <w:t xml:space="preserve">contribuții financiare private</w:t>
      </w:r>
      <w:r>
        <w:t xml:space="preserve">, destinate exclusiv susținerii fazelor de producție și dezvoltare blockchain, realizate în baza unor acorduri private de conversie, prin care susținătorii proiectului au dobândit</w:t>
      </w:r>
      <w:r>
        <w:t xml:space="preserve"> </w:t>
      </w:r>
      <w:r>
        <w:rPr>
          <w:bCs/>
          <w:b/>
        </w:rPr>
        <w:t xml:space="preserve">drepturi de conversie digitală</w:t>
      </w:r>
      <w:r>
        <w:t xml:space="preserve"> </w:t>
      </w:r>
      <w:r>
        <w:t xml:space="preserve">în tokeni</w:t>
      </w:r>
      <w:r>
        <w:t xml:space="preserve"> </w:t>
      </w:r>
      <w:r>
        <w:rPr>
          <w:bCs/>
          <w:b/>
        </w:rPr>
        <w:t xml:space="preserve">$RIVR</w:t>
      </w:r>
      <w:r>
        <w:t xml:space="preserve">, conform unui mecanism de alocare etapizat și supus vestingului. Tokenii alocați în acest mod</w:t>
      </w:r>
      <w:r>
        <w:t xml:space="preserve"> </w:t>
      </w:r>
      <w:r>
        <w:rPr>
          <w:bCs/>
          <w:b/>
        </w:rPr>
        <w:t xml:space="preserve">nu conferă drepturi de vot, dividende, profit sau control decizional</w:t>
      </w:r>
      <w:r>
        <w:t xml:space="preserve">, menținând caracterul de</w:t>
      </w:r>
      <w:r>
        <w:t xml:space="preserve"> </w:t>
      </w:r>
      <w:r>
        <w:rPr>
          <w:bCs/>
          <w:b/>
        </w:rPr>
        <w:t xml:space="preserve">utility token</w:t>
      </w:r>
      <w:r>
        <w:t xml:space="preserve"> </w:t>
      </w:r>
      <w:r>
        <w:t xml:space="preserve">al proiectului.</w:t>
      </w:r>
    </w:p>
    <w:p>
      <w:pPr>
        <w:pStyle w:val="BodyText"/>
      </w:pPr>
      <w:r>
        <w:t xml:space="preserve">Această structură de finanțare permite menținerea controlului integral al echipei fondatoare, asigurând totodată transparență financiară, conformitate juridică și sustenabilitate pe termen lung.</w:t>
      </w:r>
    </w:p>
    <w:p>
      <w:pPr>
        <w:pStyle w:val="BodyText"/>
      </w:pPr>
      <w:r>
        <w:rPr>
          <w:bCs/>
          <w:b/>
        </w:rPr>
        <w:t xml:space="preserve">10.5 — Parteneriate strategice viitoare</w:t>
      </w:r>
    </w:p>
    <w:p>
      <w:pPr>
        <w:pStyle w:val="BodyText"/>
      </w:pPr>
      <w:r>
        <w:t xml:space="preserve">După activarea tokenului pe rețea, echipa își propune să extindă ecosistemul River Token prin parteneriate comerciale directe, cu entități din retail, servicii și alte industrii care pot integra tokenul în fluxuri comerciale reale, în funcție de evoluția legislativă. Aceste parteneriate vor fi anunțate public, individual, odată formalizate.</w:t>
      </w:r>
    </w:p>
    <w:p>
      <w:pPr>
        <w:pStyle w:val="BodyText"/>
      </w:pPr>
      <w:r>
        <w:t xml:space="preserve">River Token este susținut de o echipă fondatoare implicată direct, de parteneri tehnici solizi și de un ecosistem de colaboratori care oferă proiectului reziliență, capacitate de execuție și deschidere către retail. Toate parteneriatele active și viitoare vor fi construite pe baza transparenței, conformității și impactului comercial real, în linie cu misiunea de a recompensa fidelitatea consumatorilor prin tehnologie blockchain.</w:t>
      </w:r>
    </w:p>
    <w:bookmarkEnd w:id="32"/>
    <w:bookmarkStart w:id="33" w:name="Xd8c3c97e931b1114d96b4439c31a1ce23ce9ebf"/>
    <w:p>
      <w:pPr>
        <w:pStyle w:val="Heading1"/>
      </w:pPr>
      <w:r>
        <w:t xml:space="preserve">Capitolul 11: Riscuri și strategii de atenuare</w:t>
      </w:r>
    </w:p>
    <w:p>
      <w:pPr>
        <w:pStyle w:val="FirstParagraph"/>
      </w:pPr>
      <w:r>
        <w:rPr>
          <w:bCs/>
          <w:b/>
        </w:rPr>
        <w:t xml:space="preserve">11.1. Riscuri legate de produsul fizic</w:t>
      </w:r>
    </w:p>
    <w:p>
      <w:pPr>
        <w:pStyle w:val="BodyText"/>
      </w:pPr>
      <w:r>
        <w:t xml:space="preserve">Ca în orice proces de producție și distribuție de bunuri fizice, există riscuri inerente: întârzieri de producție cauzate de blocaje interne sau externe (personal, utilaje, transport), probleme logistice provenite de la furnizori, distribuitori sau echipa proprie, disfuncționalități în lanțul de aprovizionare. Lipsa materiei prime (apa de izvor) este considerată un risc minim, România dispunând de suficiente surse naturale neproblematic de exploatat.</w:t>
      </w:r>
    </w:p>
    <w:p>
      <w:pPr>
        <w:pStyle w:val="BodyText"/>
      </w:pPr>
      <w:r>
        <w:t xml:space="preserve">Un alt risc evaluat este posibila respingere a produsului de către marile lanțuri de retail. Deși este un scenariu posibil, probabilitatea lui este considerată redusă datorită investițiilor deja realizate în brand, ambalaj și campanie, precum și parteneriatelor cu distribuitori și consultanți cu experiență.</w:t>
      </w:r>
    </w:p>
    <w:p>
      <w:pPr>
        <w:pStyle w:val="BodyText"/>
      </w:pPr>
      <w:r>
        <w:rPr>
          <w:bCs/>
          <w:b/>
        </w:rPr>
        <w:t xml:space="preserve">11.2. Riscuri legate de comportamentul consumatorului</w:t>
      </w:r>
    </w:p>
    <w:p>
      <w:pPr>
        <w:pStyle w:val="BodyText"/>
      </w:pPr>
      <w:r>
        <w:t xml:space="preserve">Modelul economic al proiectului este strâns legat de fidelitatea consumatorilor și de corelarea directă dintre consumul de apă și recompensa în tokeni. Principalele riscuri identificate: neutilizarea sau nerevendicarea tokenilor — dacă utilizatorii nu introduc codurile de sub capac, aceștia vor fi supuși unui proces de burn treptat, generând un efect deflaționar controlat; fluctuația interesului de consum, care poate încetini temporar acumularea de tokeni virtuali; concentrarea consumului între regiuni, atenuată prin campanii de reechilibrare și parteneriate regionale.</w:t>
      </w:r>
    </w:p>
    <w:p>
      <w:pPr>
        <w:pStyle w:val="BodyText"/>
      </w:pPr>
      <w:r>
        <w:rPr>
          <w:bCs/>
          <w:b/>
        </w:rPr>
        <w:t xml:space="preserve">11.3. Riscuri tehnologice</w:t>
      </w:r>
    </w:p>
    <w:p>
      <w:pPr>
        <w:pStyle w:val="BodyText"/>
      </w:pPr>
      <w:r>
        <w:t xml:space="preserve">Fiind o soluție digitală complexă, există riscuri precum atacuri cibernetice asupra aplicației mobile sau infrastructurii, breșe de securitate în codul smart contractului, probleme de funcționare sau pierderi de date. Aceste riscuri sunt tratate proactiv prin măsuri constante de securitate implementate de echipa de dezvoltare, precum și prin back-up-uri și planuri clare de recuperare în caz de întrerupere.</w:t>
      </w:r>
    </w:p>
    <w:p>
      <w:pPr>
        <w:pStyle w:val="BodyText"/>
      </w:pPr>
      <w:r>
        <w:rPr>
          <w:bCs/>
          <w:b/>
        </w:rPr>
        <w:t xml:space="preserve">11.4. Riscuri legate de reglementare</w:t>
      </w:r>
    </w:p>
    <w:p>
      <w:pPr>
        <w:pStyle w:val="BodyText"/>
      </w:pPr>
      <w:r>
        <w:t xml:space="preserve">Mediul legal privind activele digitale este în continuă schimbare. Modelul River Token limitează riscurile legale prin faptul că: codul aflat sub capac</w:t>
      </w:r>
      <w:r>
        <w:t xml:space="preserve"> </w:t>
      </w:r>
      <w:r>
        <w:rPr>
          <w:bCs/>
          <w:b/>
        </w:rPr>
        <w:t xml:space="preserve">nu este un token</w:t>
      </w:r>
      <w:r>
        <w:t xml:space="preserve">, ci un identificator folosit pentru acumularea de puncte, similar sistemelor clasice de fidelizare; tokenii reali nu sunt generați sau transferați până la momentul activării oficiale; transferul tokenilor se face într-un mod controlat și documentat, prin walleturi personale.</w:t>
      </w:r>
    </w:p>
    <w:p>
      <w:pPr>
        <w:pStyle w:val="BodyText"/>
      </w:pPr>
      <w:r>
        <w:rPr>
          <w:bCs/>
          <w:b/>
        </w:rPr>
        <w:t xml:space="preserve">11.5. Riscuri financiare și de lichiditate</w:t>
      </w:r>
    </w:p>
    <w:p>
      <w:pPr>
        <w:pStyle w:val="BodyText"/>
      </w:pPr>
      <w:r>
        <w:t xml:space="preserve">Fondul de lichiditate al tokenului este susținut proporțional cu vânzările produsului fizic, generând o relație clară între cerere și valoare. În cazul în care tokenul nu va avea cerere după activare, se pot aplica mecanisme de ajustare a politicii de staking sau de burn, pentru a susține stabilitatea valorii.</w:t>
      </w:r>
    </w:p>
    <w:p>
      <w:pPr>
        <w:pStyle w:val="BodyText"/>
      </w:pPr>
      <w:r>
        <w:rPr>
          <w:bCs/>
          <w:b/>
        </w:rPr>
        <w:t xml:space="preserve">11.6. Riscuri reputaționale sau legate de parteneri</w:t>
      </w:r>
    </w:p>
    <w:p>
      <w:pPr>
        <w:pStyle w:val="BodyText"/>
      </w:pPr>
      <w:r>
        <w:t xml:space="preserve">Pentru a reduce riscurile legate de colaboratori: fondatorii proiectului au în vedere, pe termen lung, opțiunea deschiderii unei fabrici proprii, pentru a asigura independență și control asupra producției; în cazul retragerii distribuitorilor, se vor căuta rapid parteneri alternativi în condițiile unei piețe libere și competitive; toate recompensele în tokeni sunt acordate exclusiv pe baza consumului, evitând orice formă de favoritism sau manipulare a sistemului de distribuție.</w:t>
      </w:r>
    </w:p>
    <w:p>
      <w:pPr>
        <w:pStyle w:val="BodyText"/>
      </w:pPr>
      <w:r>
        <w:t xml:space="preserve">River Token abordează cu seriozitate riscurile care pot apărea în derularea proiectului. Strategiile de prevenire și atenuare sunt construite pe o abordare realistă, orientată către stabilitate, încredere și conformitate legală.</w:t>
      </w:r>
    </w:p>
    <w:bookmarkEnd w:id="33"/>
    <w:bookmarkStart w:id="34" w:name="Xec975ced6cec973bcbc631710b3eaa740949e46"/>
    <w:p>
      <w:pPr>
        <w:pStyle w:val="Heading1"/>
      </w:pPr>
      <w:r>
        <w:t xml:space="preserve">Capitolul 12: Concluzii și viziune pe termen lung</w:t>
      </w:r>
    </w:p>
    <w:p>
      <w:pPr>
        <w:pStyle w:val="FirstParagraph"/>
      </w:pPr>
      <w:r>
        <w:t xml:space="preserve">River Token nu este doar un proiect crypto. Este un exemplu de integrare între un produs fizic —</w:t>
      </w:r>
      <w:r>
        <w:t xml:space="preserve"> </w:t>
      </w:r>
      <w:r>
        <w:rPr>
          <w:bCs/>
          <w:b/>
        </w:rPr>
        <w:t xml:space="preserve">apa îmbuteliată</w:t>
      </w:r>
      <w:r>
        <w:t xml:space="preserve"> </w:t>
      </w:r>
      <w:r>
        <w:t xml:space="preserve">— și o soluție digitală modernă de</w:t>
      </w:r>
      <w:r>
        <w:t xml:space="preserve"> </w:t>
      </w:r>
      <w:r>
        <w:rPr>
          <w:bCs/>
          <w:b/>
        </w:rPr>
        <w:t xml:space="preserve">recompensare a consumatorilor</w:t>
      </w:r>
      <w:r>
        <w:t xml:space="preserve">. Prin asocierea dintre consumul real și distribuția de tokeni, proiectul își propune să redefinească relația dintre brand, client și valoare.</w:t>
      </w:r>
    </w:p>
    <w:p>
      <w:pPr>
        <w:pStyle w:val="BodyText"/>
      </w:pPr>
      <w:r>
        <w:t xml:space="preserve">Modelul de funcționare este</w:t>
      </w:r>
      <w:r>
        <w:t xml:space="preserve"> </w:t>
      </w:r>
      <w:r>
        <w:rPr>
          <w:bCs/>
          <w:b/>
        </w:rPr>
        <w:t xml:space="preserve">simplu, dar solid</w:t>
      </w:r>
      <w:r>
        <w:t xml:space="preserve">: o sticlă de apă = un cod sub capac; codul = un punct în aplicație; punctele se transformă în tokeni reali,</w:t>
      </w:r>
      <w:r>
        <w:t xml:space="preserve"> </w:t>
      </w:r>
      <w:r>
        <w:rPr>
          <w:bCs/>
          <w:b/>
        </w:rPr>
        <w:t xml:space="preserve">doar după validarea reală a adopției</w:t>
      </w:r>
      <w:r>
        <w:t xml:space="preserve">, măsurată prin pragul de 10.000 de utilizatori activi.</w:t>
      </w:r>
    </w:p>
    <w:p>
      <w:pPr>
        <w:pStyle w:val="BodyText"/>
      </w:pPr>
      <w:r>
        <w:t xml:space="preserve">Această abordare treptată, condiționată de rezultate reale și nu de date fixe, asigură: control al inflației de tokeni; legitimitate economică (tokenii provin din consum real, nu din speculație); un fond de lichiditate transparent, corelat direct cu vânzările.</w:t>
      </w:r>
    </w:p>
    <w:p>
      <w:pPr>
        <w:pStyle w:val="BodyText"/>
      </w:pPr>
      <w:r>
        <w:t xml:space="preserve">În plus, proiectul urmărește: transparență completă în comunicare; dezvoltarea unei rețele de parteneri comerciali; extinderea graduală a capacității de producție, în funcție de evoluția reală a vânzărilor.</w:t>
      </w:r>
    </w:p>
    <w:p>
      <w:pPr>
        <w:pStyle w:val="BodyText"/>
      </w:pPr>
      <w:r>
        <w:rPr>
          <w:bCs/>
          <w:b/>
        </w:rPr>
        <w:t xml:space="preserve">Misiune pe termen lung:</w:t>
      </w:r>
    </w:p>
    <w:p>
      <w:pPr>
        <w:pStyle w:val="BodyText"/>
      </w:pPr>
      <w:r>
        <w:t xml:space="preserve">River Token urmărește să devină un</w:t>
      </w:r>
      <w:r>
        <w:t xml:space="preserve"> </w:t>
      </w:r>
      <w:r>
        <w:rPr>
          <w:bCs/>
          <w:b/>
        </w:rPr>
        <w:t xml:space="preserve">etalon de utilitate reală în lumea tokenizării</w:t>
      </w:r>
      <w:r>
        <w:t xml:space="preserve">: un token născut din consum, susținut de comunitate, guvernat de echipă, dar crescut în mod transparent și sustenabil.</w:t>
      </w:r>
    </w:p>
    <w:bookmarkEnd w:id="34"/>
    <w:bookmarkStart w:id="35" w:name="întrebări-frecvente-faq"/>
    <w:p>
      <w:pPr>
        <w:pStyle w:val="Heading1"/>
      </w:pPr>
      <w:r>
        <w:t xml:space="preserve">Întrebări frecvente (FAQ)</w:t>
      </w:r>
    </w:p>
    <w:p>
      <w:pPr>
        <w:pStyle w:val="FirstParagraph"/>
      </w:pPr>
      <w:r>
        <w:rPr>
          <w:bCs/>
          <w:b/>
        </w:rPr>
        <w:t xml:space="preserve">River Token este o investiție?</w:t>
      </w:r>
    </w:p>
    <w:p>
      <w:pPr>
        <w:pStyle w:val="BodyText"/>
      </w:pPr>
      <w:r>
        <w:t xml:space="preserve">Nu. River Token este un produs de consum — apă îmbuteliată — însoțit de un mecanism de recompensare digitală. Tokenul $RIVR este un utility token, nu un instrument financiar, și nu este promovat cu promisiuni de câștig sau randament garantat.</w:t>
      </w:r>
    </w:p>
    <w:p>
      <w:pPr>
        <w:pStyle w:val="BodyText"/>
      </w:pPr>
      <w:r>
        <w:rPr>
          <w:bCs/>
          <w:b/>
        </w:rPr>
        <w:t xml:space="preserve">Când se listează tokenul $RIVR pe exchange?</w:t>
      </w:r>
    </w:p>
    <w:p>
      <w:pPr>
        <w:pStyle w:val="BodyText"/>
      </w:pPr>
      <w:r>
        <w:t xml:space="preserve">Nu există o dată fixă. Activarea tokenului este condiționată de atingerea unui prag de 10.000 de utilizatori unici activi în aplicația mobilă. Momentul depinde exclusiv de ritmul real de adopție al produsului.</w:t>
      </w:r>
    </w:p>
    <w:p>
      <w:pPr>
        <w:pStyle w:val="BodyText"/>
      </w:pPr>
      <w:r>
        <w:rPr>
          <w:bCs/>
          <w:b/>
        </w:rPr>
        <w:t xml:space="preserve">Ce se întâmplă dacă pragul de 10.000 de utilizatori nu este atins?</w:t>
      </w:r>
    </w:p>
    <w:p>
      <w:pPr>
        <w:pStyle w:val="BodyText"/>
      </w:pPr>
      <w:r>
        <w:t xml:space="preserve">Aplicația continuă să funcționeze normal, iar utilizatorii continuă să acumuleze puncte virtuale, convertibile în tokeni imediat ce pragul este atins. Compania nu promite și nu poate garanta un termen pentru atingerea acestui prag.</w:t>
      </w:r>
    </w:p>
    <w:p>
      <w:pPr>
        <w:pStyle w:val="BodyText"/>
      </w:pPr>
      <w:r>
        <w:rPr>
          <w:bCs/>
          <w:b/>
        </w:rPr>
        <w:t xml:space="preserve">Ce primesc concret la cumpărarea unei sticle?</w:t>
      </w:r>
    </w:p>
    <w:p>
      <w:pPr>
        <w:pStyle w:val="BodyText"/>
      </w:pPr>
      <w:r>
        <w:t xml:space="preserve">Un produs fizic — apă de izvor de calitate — și un cod unic sub capac, care poate fi introdus în aplicația mobilă pentru a acumula puncte virtuale, convertibile ulterior în tokeni $RIVR.</w:t>
      </w:r>
    </w:p>
    <w:p>
      <w:pPr>
        <w:pStyle w:val="BodyText"/>
      </w:pPr>
      <w:r>
        <w:rPr>
          <w:bCs/>
          <w:b/>
        </w:rPr>
        <w:t xml:space="preserve">Tokenii virtuali (punctele) pot fi vânduți sau transferați înainte de activare?</w:t>
      </w:r>
    </w:p>
    <w:p>
      <w:pPr>
        <w:pStyle w:val="BodyText"/>
      </w:pPr>
      <w:r>
        <w:t xml:space="preserve">Nu. Punctele virtuale nu sunt active crypto în sensul Regulamentului MiCA și nu pot fi transferate, vândute sau tranzacționate înainte de activarea oficială a tokenului pe rețea.</w:t>
      </w:r>
    </w:p>
    <w:p>
      <w:pPr>
        <w:pStyle w:val="BodyText"/>
      </w:pPr>
      <w:r>
        <w:rPr>
          <w:bCs/>
          <w:b/>
        </w:rPr>
        <w:t xml:space="preserve">Cine garantează valoarea tokenului $RIVR?</w:t>
      </w:r>
    </w:p>
    <w:p>
      <w:pPr>
        <w:pStyle w:val="BodyText"/>
      </w:pPr>
      <w:r>
        <w:t xml:space="preserve">Nimeni. Valoarea tokenului, odată tranzacționabil, va fi determinată exclusiv de cerere și ofertă pe piețele pe care va fi listat. Compania River Token nu garantează și nu poate controla această valoare.</w:t>
      </w:r>
    </w:p>
    <w:p>
      <w:pPr>
        <w:pStyle w:val="BodyText"/>
      </w:pPr>
      <w:r>
        <w:rPr>
          <w:bCs/>
          <w:b/>
        </w:rPr>
        <w:t xml:space="preserve">Ce se întâmplă cu tokenii nerevendicați?</w:t>
      </w:r>
    </w:p>
    <w:p>
      <w:pPr>
        <w:pStyle w:val="BodyText"/>
      </w:pPr>
      <w:r>
        <w:t xml:space="preserve">Codurile nerevendicate nu generează tokeni activi. Tokenii corespunzători pot face obiectul unui proces controlat de ardere (burn), reglementat prin smart contract, ceea ce reduce supply-ul circulant disponibil.</w:t>
      </w:r>
    </w:p>
    <w:p>
      <w:pPr>
        <w:pStyle w:val="BodyText"/>
      </w:pPr>
      <w:r>
        <w:rPr>
          <w:bCs/>
          <w:b/>
        </w:rPr>
        <w:t xml:space="preserve">Unde pot cumpăra produsul River Token?</w:t>
      </w:r>
    </w:p>
    <w:p>
      <w:pPr>
        <w:pStyle w:val="BodyText"/>
      </w:pPr>
      <w:r>
        <w:t xml:space="preserve">La lansarea comercială, din magazinul online oficial www.river-token.com. Ulterior, distribuția se va extinde către retail tradițional, HoReCa și platforme online suplimentare, în funcție de evoluția proiectului.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Poppins" w:cs="Poppins" w:hAnsi="Poppins"/>
      <w:b/>
      <w:bCs/>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Poppins"/>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Poppi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2026-07-22T12:51:04Z</dcterms:created>
  <dcterms:modified xsi:type="dcterms:W3CDTF">2026-07-22T12:51:04Z</dcterms:modified>
</cp:coreProperties>
</file>

<file path=docProps/custom.xml><?xml version="1.0" encoding="utf-8"?>
<Properties xmlns="http://schemas.openxmlformats.org/officeDocument/2006/custom-properties" xmlns:vt="http://schemas.openxmlformats.org/officeDocument/2006/docPropsVTypes"/>
</file>